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FA3895" w:rsidP="00FA389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4277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четыре 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тысячи 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двести семьдесят семь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FA389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FA389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40712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FA389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769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FA389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proofErr w:type="spellStart"/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пр-</w:t>
            </w:r>
            <w:r w:rsidR="00FA389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к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т</w:t>
            </w:r>
            <w:proofErr w:type="spellEnd"/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FA389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Гагарина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="00FA389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з/у 91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FA3895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гостиничное обслуживание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814F9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814F9" w:rsidRDefault="006A2AF4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814F9" w:rsidRPr="002814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FA3895" w:rsidRPr="00FA3895" w:rsidRDefault="00FA3895" w:rsidP="00FA3895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895">
        <w:rPr>
          <w:rFonts w:ascii="Times New Roman" w:eastAsia="Calibri" w:hAnsi="Times New Roman" w:cs="Times New Roman"/>
          <w:sz w:val="24"/>
          <w:szCs w:val="24"/>
        </w:rPr>
        <w:t>1.4.</w:t>
      </w:r>
      <w:r w:rsidRPr="00FA3895">
        <w:rPr>
          <w:rFonts w:ascii="Times New Roman" w:eastAsia="Calibri" w:hAnsi="Times New Roman" w:cs="Times New Roman"/>
          <w:sz w:val="24"/>
          <w:szCs w:val="24"/>
        </w:rPr>
        <w:t>2. В границах земельного участка имеются сети водопровода Д=100мм (охранная зона 5,0 м в обе стороны от трубопровода водопровода) и самотечной канализации Д=300мм, (охранная зона 3,0 м от трубопровода самотечной сети канализации) которые находятся в хозяйственном ведении МП «Водоканал» г. Великие Луки. Земельный участок обременяется правом МП «</w:t>
      </w:r>
      <w:proofErr w:type="spellStart"/>
      <w:proofErr w:type="gramStart"/>
      <w:r w:rsidRPr="00FA3895">
        <w:rPr>
          <w:rFonts w:ascii="Times New Roman" w:eastAsia="Calibri" w:hAnsi="Times New Roman" w:cs="Times New Roman"/>
          <w:sz w:val="24"/>
          <w:szCs w:val="24"/>
        </w:rPr>
        <w:t>Водоканал»г</w:t>
      </w:r>
      <w:proofErr w:type="spellEnd"/>
      <w:r w:rsidRPr="00FA389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A3895">
        <w:rPr>
          <w:rFonts w:ascii="Times New Roman" w:eastAsia="Calibri" w:hAnsi="Times New Roman" w:cs="Times New Roman"/>
          <w:sz w:val="24"/>
          <w:szCs w:val="24"/>
        </w:rPr>
        <w:t xml:space="preserve"> Великие Луки свободного доступа для эксплуатации и обслуживания трубопровода. </w:t>
      </w:r>
      <w:r w:rsidRPr="00FA3895">
        <w:rPr>
          <w:rFonts w:ascii="Times New Roman" w:hAnsi="Times New Roman" w:cs="Times New Roman"/>
          <w:sz w:val="24"/>
          <w:szCs w:val="24"/>
        </w:rPr>
        <w:t>Соблюдать требования, установленные СП 42.13330.2016 Свода правил Градостроительство. Планировка и застройка городских и сельских поселений актуализированная редакция СНиП 2.07.01-89*, относительно водопроводных (канализационных) сетей.</w:t>
      </w:r>
    </w:p>
    <w:p w:rsidR="00FA3895" w:rsidRPr="00FA3895" w:rsidRDefault="00FA3895" w:rsidP="00FA3895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895">
        <w:rPr>
          <w:rFonts w:ascii="Times New Roman" w:hAnsi="Times New Roman" w:cs="Times New Roman"/>
          <w:sz w:val="24"/>
          <w:szCs w:val="24"/>
        </w:rPr>
        <w:t>1.4.</w:t>
      </w:r>
      <w:r w:rsidRPr="00FA3895">
        <w:rPr>
          <w:rFonts w:ascii="Times New Roman" w:hAnsi="Times New Roman" w:cs="Times New Roman"/>
          <w:sz w:val="24"/>
          <w:szCs w:val="24"/>
        </w:rPr>
        <w:t xml:space="preserve">3. Земельный участок частично расположен в границах зоны с реестровым номером 60:25-6.1364 (ВЛИ-0,4 </w:t>
      </w:r>
      <w:proofErr w:type="spellStart"/>
      <w:r w:rsidRPr="00FA389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A3895">
        <w:rPr>
          <w:rFonts w:ascii="Times New Roman" w:hAnsi="Times New Roman" w:cs="Times New Roman"/>
          <w:sz w:val="24"/>
          <w:szCs w:val="24"/>
        </w:rPr>
        <w:t xml:space="preserve"> от ЗТП № 1107 г. Великие Луки); Установлено действие публичного сервитута на охрану объектов электросетевого хозяйства</w:t>
      </w:r>
      <w:r>
        <w:rPr>
          <w:rFonts w:ascii="Times New Roman" w:hAnsi="Times New Roman" w:cs="Times New Roman"/>
          <w:sz w:val="24"/>
          <w:szCs w:val="24"/>
        </w:rPr>
        <w:t>, зона</w:t>
      </w:r>
      <w:bookmarkStart w:id="0" w:name="_GoBack"/>
      <w:bookmarkEnd w:id="0"/>
      <w:r w:rsidRPr="00FA3895">
        <w:rPr>
          <w:rFonts w:ascii="Times New Roman" w:hAnsi="Times New Roman" w:cs="Times New Roman"/>
          <w:sz w:val="24"/>
          <w:szCs w:val="24"/>
        </w:rPr>
        <w:t xml:space="preserve"> с реестровым номером 60:25-6.2016.</w:t>
      </w:r>
    </w:p>
    <w:p w:rsidR="00FA3895" w:rsidRDefault="00FA3895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895" w:rsidRPr="002814F9" w:rsidRDefault="00FA3895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lastRenderedPageBreak/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FA389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FA389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семь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FA389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1768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FA389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FA389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четыре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>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lastRenderedPageBreak/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6.6. В случае, если место нахождения или место жительства Арендатора неизвестно, 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3337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3895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0284-E40B-47D2-B3A8-40857D43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5</cp:revision>
  <cp:lastPrinted>2025-01-29T06:18:00Z</cp:lastPrinted>
  <dcterms:created xsi:type="dcterms:W3CDTF">2022-03-30T07:45:00Z</dcterms:created>
  <dcterms:modified xsi:type="dcterms:W3CDTF">2025-01-29T06:22:00Z</dcterms:modified>
</cp:coreProperties>
</file>