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D45A2E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792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5381"/>
      </w:tblGrid>
      <w:tr w:rsidR="004C25A1" w:rsidRPr="00102D77" w:rsidTr="00C27EF4">
        <w:trPr>
          <w:trHeight w:val="299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1A3C1C" w:rsidP="001A3C1C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776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семьсот семьдесят шесть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27EF4">
        <w:trPr>
          <w:trHeight w:val="180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1A3C1C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1A3C1C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70504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F213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  <w:r w:rsidR="001A3C1C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93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C27EF4" w:rsidRDefault="0012231C" w:rsidP="001A3C1C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12231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</w:t>
            </w:r>
            <w:proofErr w:type="gramStart"/>
            <w:r w:rsidRPr="0012231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Луки, </w:t>
            </w:r>
            <w:r w:rsidR="001A3C1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 </w:t>
            </w:r>
            <w:proofErr w:type="gramEnd"/>
            <w:r w:rsidR="001A3C1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ул. Литейная</w:t>
            </w:r>
            <w:r w:rsidR="004C25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1A3C1C" w:rsidP="001A3C1C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стоянка транспортных средств</w:t>
            </w:r>
            <w:r w:rsidR="00D846F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D7751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064868" w:rsidRPr="001A3C1C" w:rsidRDefault="006A2AF4" w:rsidP="001A3C1C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1.4.1</w:t>
      </w:r>
      <w:r w:rsidRPr="006A2A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64868" w:rsidRPr="0006486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</w:t>
      </w:r>
      <w:r w:rsidR="00064868" w:rsidRPr="001A3C1C">
        <w:rPr>
          <w:rFonts w:ascii="Times New Roman" w:eastAsia="Calibri" w:hAnsi="Times New Roman" w:cs="Times New Roman"/>
          <w:sz w:val="24"/>
          <w:szCs w:val="24"/>
        </w:rPr>
        <w:t xml:space="preserve">допускать подтопления соседних участков, тротуаров, улиц и проездов. </w:t>
      </w:r>
    </w:p>
    <w:p w:rsidR="001A3C1C" w:rsidRPr="001A3C1C" w:rsidRDefault="001A3C1C" w:rsidP="001A3C1C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</w:t>
      </w:r>
      <w:r w:rsidRPr="001A3C1C">
        <w:rPr>
          <w:rFonts w:ascii="Times New Roman" w:eastAsia="Calibri" w:hAnsi="Times New Roman" w:cs="Times New Roman"/>
          <w:sz w:val="24"/>
          <w:szCs w:val="24"/>
        </w:rPr>
        <w:t xml:space="preserve">2. Часть земельного участка площадью 109 кв.м. находиться в зоне с особыми условиями-зона публичного сервитута объекта электросетевого хозяйства «КЛ-6 </w:t>
      </w:r>
      <w:proofErr w:type="spellStart"/>
      <w:r w:rsidRPr="001A3C1C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1A3C1C">
        <w:rPr>
          <w:rFonts w:ascii="Times New Roman" w:eastAsia="Calibri" w:hAnsi="Times New Roman" w:cs="Times New Roman"/>
          <w:sz w:val="24"/>
          <w:szCs w:val="24"/>
        </w:rPr>
        <w:t xml:space="preserve"> РП-14-ТП-97-ТП-98» (60:25-6.861)</w:t>
      </w:r>
    </w:p>
    <w:p w:rsidR="001A3C1C" w:rsidRDefault="001A3C1C" w:rsidP="001A3C1C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</w:t>
      </w:r>
      <w:r w:rsidRPr="001A3C1C">
        <w:rPr>
          <w:rFonts w:ascii="Times New Roman" w:eastAsia="Calibri" w:hAnsi="Times New Roman" w:cs="Times New Roman"/>
          <w:sz w:val="24"/>
          <w:szCs w:val="24"/>
        </w:rPr>
        <w:t>3. Часть земельного участка площадью 157 кв.м. расположена в охранных зонах:</w:t>
      </w:r>
    </w:p>
    <w:p w:rsidR="001A3C1C" w:rsidRPr="001A3C1C" w:rsidRDefault="001A3C1C" w:rsidP="001A3C1C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C1C">
        <w:rPr>
          <w:rFonts w:ascii="Times New Roman" w:eastAsia="Calibri" w:hAnsi="Times New Roman" w:cs="Times New Roman"/>
          <w:sz w:val="24"/>
          <w:szCs w:val="24"/>
        </w:rPr>
        <w:t xml:space="preserve">- объекта электросетевого хозяйства «ВЛ-0,4 </w:t>
      </w:r>
      <w:proofErr w:type="spellStart"/>
      <w:proofErr w:type="gramStart"/>
      <w:r w:rsidRPr="001A3C1C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1A3C1C">
        <w:rPr>
          <w:rFonts w:ascii="Times New Roman" w:eastAsia="Calibri" w:hAnsi="Times New Roman" w:cs="Times New Roman"/>
          <w:sz w:val="24"/>
          <w:szCs w:val="24"/>
        </w:rPr>
        <w:t xml:space="preserve">  от</w:t>
      </w:r>
      <w:proofErr w:type="gramEnd"/>
      <w:r w:rsidRPr="001A3C1C">
        <w:rPr>
          <w:rFonts w:ascii="Times New Roman" w:eastAsia="Calibri" w:hAnsi="Times New Roman" w:cs="Times New Roman"/>
          <w:sz w:val="24"/>
          <w:szCs w:val="24"/>
        </w:rPr>
        <w:t xml:space="preserve"> ЗТП-1097 ул. Узловая г. Великие Луки» (60:25-6.912),</w:t>
      </w:r>
    </w:p>
    <w:p w:rsidR="001A3C1C" w:rsidRPr="001A3C1C" w:rsidRDefault="001A3C1C" w:rsidP="001A3C1C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C1C">
        <w:rPr>
          <w:rFonts w:ascii="Times New Roman" w:eastAsia="Calibri" w:hAnsi="Times New Roman" w:cs="Times New Roman"/>
          <w:sz w:val="24"/>
          <w:szCs w:val="24"/>
        </w:rPr>
        <w:t xml:space="preserve">- объекта электросетевого хозяйств «ВЛ-0,4 </w:t>
      </w:r>
      <w:proofErr w:type="spellStart"/>
      <w:r w:rsidRPr="001A3C1C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1A3C1C">
        <w:rPr>
          <w:rFonts w:ascii="Times New Roman" w:eastAsia="Calibri" w:hAnsi="Times New Roman" w:cs="Times New Roman"/>
          <w:sz w:val="24"/>
          <w:szCs w:val="24"/>
        </w:rPr>
        <w:t xml:space="preserve"> Освещение уличное совместной подсветкой по ВЛ-0,4 </w:t>
      </w:r>
      <w:proofErr w:type="spellStart"/>
      <w:r w:rsidRPr="001A3C1C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1A3C1C">
        <w:rPr>
          <w:rFonts w:ascii="Times New Roman" w:eastAsia="Calibri" w:hAnsi="Times New Roman" w:cs="Times New Roman"/>
          <w:sz w:val="24"/>
          <w:szCs w:val="24"/>
        </w:rPr>
        <w:t xml:space="preserve"> г. Великие Луки» (60:25-6.509),</w:t>
      </w:r>
    </w:p>
    <w:p w:rsidR="001A3C1C" w:rsidRPr="001A3C1C" w:rsidRDefault="001A3C1C" w:rsidP="001A3C1C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C1C">
        <w:rPr>
          <w:rFonts w:ascii="Times New Roman" w:eastAsia="Calibri" w:hAnsi="Times New Roman" w:cs="Times New Roman"/>
          <w:sz w:val="24"/>
          <w:szCs w:val="24"/>
        </w:rPr>
        <w:t xml:space="preserve">- зоне публичного сервитута объекта электросетевого хозяйства «ВЛ-0,4 </w:t>
      </w:r>
      <w:proofErr w:type="spellStart"/>
      <w:r w:rsidRPr="001A3C1C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1A3C1C">
        <w:rPr>
          <w:rFonts w:ascii="Times New Roman" w:eastAsia="Calibri" w:hAnsi="Times New Roman" w:cs="Times New Roman"/>
          <w:sz w:val="24"/>
          <w:szCs w:val="24"/>
        </w:rPr>
        <w:t xml:space="preserve"> Освещение уличное совместной подсветкой по ВЛ-0,4 </w:t>
      </w:r>
      <w:proofErr w:type="spellStart"/>
      <w:r w:rsidRPr="001A3C1C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1A3C1C">
        <w:rPr>
          <w:rFonts w:ascii="Times New Roman" w:eastAsia="Calibri" w:hAnsi="Times New Roman" w:cs="Times New Roman"/>
          <w:sz w:val="24"/>
          <w:szCs w:val="24"/>
        </w:rPr>
        <w:t xml:space="preserve"> г. Великие Луки» (</w:t>
      </w:r>
      <w:proofErr w:type="gramStart"/>
      <w:r w:rsidRPr="001A3C1C">
        <w:rPr>
          <w:rFonts w:ascii="Times New Roman" w:eastAsia="Calibri" w:hAnsi="Times New Roman" w:cs="Times New Roman"/>
          <w:sz w:val="24"/>
          <w:szCs w:val="24"/>
        </w:rPr>
        <w:t>60:25:-</w:t>
      </w:r>
      <w:proofErr w:type="gramEnd"/>
      <w:r w:rsidRPr="001A3C1C">
        <w:rPr>
          <w:rFonts w:ascii="Times New Roman" w:eastAsia="Calibri" w:hAnsi="Times New Roman" w:cs="Times New Roman"/>
          <w:sz w:val="24"/>
          <w:szCs w:val="24"/>
        </w:rPr>
        <w:t>6.2008)</w:t>
      </w:r>
    </w:p>
    <w:p w:rsidR="001A3C1C" w:rsidRPr="001A3C1C" w:rsidRDefault="001A3C1C" w:rsidP="001A3C1C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C1C">
        <w:rPr>
          <w:rFonts w:ascii="Times New Roman" w:eastAsia="Calibri" w:hAnsi="Times New Roman" w:cs="Times New Roman"/>
          <w:sz w:val="24"/>
          <w:szCs w:val="24"/>
        </w:rPr>
        <w:t xml:space="preserve">- зоне публичного сервитута объекта электросетевого хозяйства «ВЛ-0,4 </w:t>
      </w:r>
      <w:proofErr w:type="spellStart"/>
      <w:r w:rsidRPr="001A3C1C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1A3C1C">
        <w:rPr>
          <w:rFonts w:ascii="Times New Roman" w:eastAsia="Calibri" w:hAnsi="Times New Roman" w:cs="Times New Roman"/>
          <w:sz w:val="24"/>
          <w:szCs w:val="24"/>
        </w:rPr>
        <w:t xml:space="preserve"> от ЗТП-1097 ул. Узловая г. Великие Луки (60:25-6.1912)</w:t>
      </w:r>
    </w:p>
    <w:p w:rsidR="001A3C1C" w:rsidRPr="001A3C1C" w:rsidRDefault="001A3C1C" w:rsidP="001A3C1C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1A3C1C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1A3C1C">
        <w:rPr>
          <w:rFonts w:ascii="Times New Roman" w:eastAsia="Calibri" w:hAnsi="Times New Roman" w:cs="Times New Roman"/>
          <w:sz w:val="24"/>
          <w:szCs w:val="24"/>
        </w:rPr>
        <w:t xml:space="preserve"> Часть земельного участка площадью 109 кв.м. расположена в охранной зоне объекта электросетевого хозяйства «КЛ-6кВ РП-14-ТП-97-ТП-98» (60:25-6.621).</w:t>
      </w:r>
    </w:p>
    <w:p w:rsidR="001A3C1C" w:rsidRDefault="001A3C1C" w:rsidP="001A3C1C">
      <w:pPr>
        <w:jc w:val="both"/>
        <w:rPr>
          <w:rFonts w:ascii="Times New Roman" w:hAnsi="Times New Roman" w:cs="Times New Roman"/>
          <w:sz w:val="24"/>
          <w:szCs w:val="24"/>
        </w:rPr>
      </w:pPr>
      <w:r w:rsidRPr="001A3C1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>1.4.5.</w:t>
      </w:r>
      <w:r w:rsidRPr="001A3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3C1C">
        <w:rPr>
          <w:rFonts w:ascii="Times New Roman" w:hAnsi="Times New Roman" w:cs="Times New Roman"/>
          <w:sz w:val="24"/>
          <w:szCs w:val="24"/>
        </w:rPr>
        <w:t>Земельный участок полностью расположен в границах зоны с реестровым номером 60:25-6.349 от 21.01.2020, ограничение использования земельного участка в пределах зоны: Перечень ограничений использования земельных участков, расположенных в границах санитарно-защитной зоны установлен п.5 «Правил установления санитарно-защитных зон и использования земельных участков, расположенных в границах санитарно-защитных зон», утвержденных постановлением Правительства РФ № 222 от 03.03.2018 г.: «В границах санитарно-защитной зоны не допускается использования земельных участков в целях: а)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 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требованиями., вид/наименование: Санитарно-защитная зона для ОАО «Великолукский мясокомбинат».</w:t>
      </w:r>
    </w:p>
    <w:p w:rsidR="004C25A1" w:rsidRPr="00102D77" w:rsidRDefault="001A3C1C" w:rsidP="001A3C1C">
      <w:pPr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C25A1"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2.1. Срок Договора устанавливается на </w:t>
      </w:r>
      <w:r w:rsidR="00705B6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10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705B6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десять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лет</w:t>
      </w:r>
      <w:r w:rsidR="001A3C1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bookmarkStart w:id="0" w:name="_GoBack"/>
      <w:bookmarkEnd w:id="0"/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5D4891" w:rsidRPr="005D4891" w:rsidRDefault="004C25A1" w:rsidP="005D4891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Арендная плата за использование земельных участков вносится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гражданами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- единовременно в срок до 15 ноября текущего года в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Банк получатель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: (Отделение Псков Банка России//УФК по Псковской области г. Псков) </w:t>
      </w:r>
      <w:proofErr w:type="spellStart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Кор.счет</w:t>
      </w:r>
      <w:proofErr w:type="spellEnd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(ЕКС) 40102810145370000049, БИК 015805002.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Получатель: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lastRenderedPageBreak/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2C15BE" w:rsidRPr="00102D77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EF39C5" w:rsidRPr="00B53CA2" w:rsidRDefault="00EF39C5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0E1101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0E1101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lastRenderedPageBreak/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0E1101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lastRenderedPageBreak/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sectPr w:rsidR="004C25A1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64868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019D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A3C1C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4673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D44F4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D4891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113F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5B62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2B4C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5B43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D4B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27EF4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B4DE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4185"/>
    <w:rsid w:val="00EC5C67"/>
    <w:rsid w:val="00ED0292"/>
    <w:rsid w:val="00ED213E"/>
    <w:rsid w:val="00ED4007"/>
    <w:rsid w:val="00ED6593"/>
    <w:rsid w:val="00EE172F"/>
    <w:rsid w:val="00EE1EF8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213A1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7FB2-A546-4F1B-8138-4E060D33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FB130-7425-43CE-8E4F-8638CE02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2845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8</cp:revision>
  <cp:lastPrinted>2024-12-06T06:44:00Z</cp:lastPrinted>
  <dcterms:created xsi:type="dcterms:W3CDTF">2024-10-30T08:48:00Z</dcterms:created>
  <dcterms:modified xsi:type="dcterms:W3CDTF">2024-12-06T06:44:00Z</dcterms:modified>
</cp:coreProperties>
</file>