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19" w:rsidRDefault="0022471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24719" w:rsidRDefault="00224719">
      <w:pPr>
        <w:pStyle w:val="ConsPlusNormal"/>
        <w:jc w:val="both"/>
        <w:outlineLvl w:val="0"/>
      </w:pPr>
    </w:p>
    <w:p w:rsidR="00224719" w:rsidRDefault="00224719">
      <w:pPr>
        <w:pStyle w:val="ConsPlusTitle"/>
        <w:jc w:val="center"/>
        <w:outlineLvl w:val="0"/>
      </w:pPr>
      <w:r>
        <w:t>ВЕЛИКОЛУКСКАЯ ГОРОДСКАЯ ДУМА</w:t>
      </w:r>
    </w:p>
    <w:p w:rsidR="00224719" w:rsidRDefault="00224719">
      <w:pPr>
        <w:pStyle w:val="ConsPlusTitle"/>
        <w:jc w:val="center"/>
      </w:pPr>
    </w:p>
    <w:p w:rsidR="00224719" w:rsidRDefault="00224719">
      <w:pPr>
        <w:pStyle w:val="ConsPlusTitle"/>
        <w:jc w:val="center"/>
      </w:pPr>
      <w:r>
        <w:t>РЕШЕНИЕ</w:t>
      </w:r>
    </w:p>
    <w:p w:rsidR="00224719" w:rsidRDefault="00224719">
      <w:pPr>
        <w:pStyle w:val="ConsPlusTitle"/>
        <w:jc w:val="center"/>
      </w:pPr>
      <w:r>
        <w:t>от 4 марта 2022 г. N 15</w:t>
      </w:r>
    </w:p>
    <w:p w:rsidR="00224719" w:rsidRDefault="00224719">
      <w:pPr>
        <w:pStyle w:val="ConsPlusTitle"/>
        <w:jc w:val="center"/>
      </w:pPr>
    </w:p>
    <w:p w:rsidR="00224719" w:rsidRDefault="00224719">
      <w:pPr>
        <w:pStyle w:val="ConsPlusTitle"/>
        <w:jc w:val="center"/>
      </w:pPr>
      <w:r>
        <w:t>ОБ УТВЕРЖДЕНИИ КЛЮЧЕВЫХ И ИНДИКАТИВНЫХ ПОКАЗАТЕЛЕЙ</w:t>
      </w:r>
    </w:p>
    <w:p w:rsidR="00224719" w:rsidRDefault="00224719">
      <w:pPr>
        <w:pStyle w:val="ConsPlusTitle"/>
        <w:jc w:val="center"/>
      </w:pPr>
      <w:r>
        <w:t>ПРИ ОСУЩЕСТВЛЕНИИ МУНИЦИПАЛЬНОГО ЗЕМЕЛЬНОГО КОНТРОЛЯ</w:t>
      </w:r>
    </w:p>
    <w:p w:rsidR="00224719" w:rsidRDefault="00224719">
      <w:pPr>
        <w:pStyle w:val="ConsPlusTitle"/>
        <w:jc w:val="center"/>
      </w:pPr>
      <w:r>
        <w:t>НА ТЕРРИТОРИИ МО "ГОРОД ВЕЛИКИЕ ЛУКИ"</w:t>
      </w:r>
    </w:p>
    <w:p w:rsidR="00224719" w:rsidRDefault="00224719">
      <w:pPr>
        <w:pStyle w:val="ConsPlusNormal"/>
        <w:jc w:val="both"/>
      </w:pPr>
    </w:p>
    <w:p w:rsidR="00224719" w:rsidRDefault="00224719">
      <w:pPr>
        <w:pStyle w:val="ConsPlusNormal"/>
        <w:jc w:val="center"/>
      </w:pPr>
      <w:r>
        <w:t xml:space="preserve">Принято на 53-м заседании </w:t>
      </w:r>
      <w:proofErr w:type="gramStart"/>
      <w:r>
        <w:t>Великолукской</w:t>
      </w:r>
      <w:proofErr w:type="gramEnd"/>
    </w:p>
    <w:p w:rsidR="00224719" w:rsidRDefault="00224719">
      <w:pPr>
        <w:pStyle w:val="ConsPlusNormal"/>
        <w:jc w:val="center"/>
      </w:pPr>
      <w:r>
        <w:t>городской Думы шестого созыва</w:t>
      </w:r>
    </w:p>
    <w:p w:rsidR="00224719" w:rsidRDefault="00224719">
      <w:pPr>
        <w:pStyle w:val="ConsPlusNormal"/>
        <w:jc w:val="both"/>
      </w:pPr>
    </w:p>
    <w:p w:rsidR="00224719" w:rsidRDefault="00224719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статьей 72</w:t>
        </w:r>
      </w:hyperlink>
      <w:r>
        <w:t xml:space="preserve"> Земельного кодекса Российской Федерации, </w:t>
      </w:r>
      <w:hyperlink r:id="rId7">
        <w:r>
          <w:rPr>
            <w:color w:val="0000FF"/>
          </w:rPr>
          <w:t>статьей 17.1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подпунктом 4 пункта 2 статьи 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</w:t>
      </w:r>
      <w:hyperlink r:id="rId9">
        <w:r>
          <w:rPr>
            <w:color w:val="0000FF"/>
          </w:rPr>
          <w:t>пунктом 97</w:t>
        </w:r>
      </w:hyperlink>
      <w:r>
        <w:t xml:space="preserve"> решения Великолукской городской Думы N 107 от 02.11.2021 "Об утверждении</w:t>
      </w:r>
      <w:proofErr w:type="gramEnd"/>
      <w:r>
        <w:t xml:space="preserve"> Положения "О муниципальном земельном контроле на территории муниципального образования "Город Великие Луки", </w:t>
      </w:r>
      <w:hyperlink r:id="rId10">
        <w:r>
          <w:rPr>
            <w:color w:val="0000FF"/>
          </w:rPr>
          <w:t>статьями 4.1</w:t>
        </w:r>
      </w:hyperlink>
      <w:r>
        <w:t xml:space="preserve">, </w:t>
      </w:r>
      <w:hyperlink r:id="rId11">
        <w:r>
          <w:rPr>
            <w:color w:val="0000FF"/>
          </w:rPr>
          <w:t>28</w:t>
        </w:r>
      </w:hyperlink>
      <w:r>
        <w:t xml:space="preserve"> Устава муниципального образования "Город Великие Луки" Великолукская городская Дума решила:</w:t>
      </w:r>
    </w:p>
    <w:p w:rsidR="00224719" w:rsidRDefault="00224719">
      <w:pPr>
        <w:pStyle w:val="ConsPlusNormal"/>
        <w:spacing w:before="220"/>
        <w:ind w:firstLine="540"/>
        <w:jc w:val="both"/>
      </w:pPr>
      <w:r>
        <w:t xml:space="preserve">1. Утвердить ключевые и индикативные </w:t>
      </w:r>
      <w:hyperlink w:anchor="P30">
        <w:r>
          <w:rPr>
            <w:color w:val="0000FF"/>
          </w:rPr>
          <w:t>показатели</w:t>
        </w:r>
      </w:hyperlink>
      <w:r>
        <w:t xml:space="preserve"> при осуществлении муниципального земельного контроля на территории муниципального образования "Город Великие Луки" согласно приложению.</w:t>
      </w:r>
    </w:p>
    <w:p w:rsidR="00224719" w:rsidRDefault="00224719">
      <w:pPr>
        <w:pStyle w:val="ConsPlusNormal"/>
        <w:spacing w:before="220"/>
        <w:ind w:firstLine="540"/>
        <w:jc w:val="both"/>
      </w:pPr>
      <w:r>
        <w:t>2. Настоящее решение подлежит опубликованию в газете "Великолукская правда" и размещению в сети Интернет на официальном сайте муниципального образования "Город Великие Луки" vluki.reg60.ru.</w:t>
      </w:r>
    </w:p>
    <w:p w:rsidR="00224719" w:rsidRDefault="00224719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3. Настоящее решение вступает в силу после его официального опубликования, за исключением </w:t>
      </w:r>
      <w:hyperlink w:anchor="P70">
        <w:r>
          <w:rPr>
            <w:color w:val="0000FF"/>
          </w:rPr>
          <w:t>п.п. 1</w:t>
        </w:r>
      </w:hyperlink>
      <w:r>
        <w:t xml:space="preserve">, </w:t>
      </w:r>
      <w:hyperlink w:anchor="P88">
        <w:r>
          <w:rPr>
            <w:color w:val="0000FF"/>
          </w:rPr>
          <w:t>18</w:t>
        </w:r>
      </w:hyperlink>
      <w:r>
        <w:t xml:space="preserve">, </w:t>
      </w:r>
      <w:hyperlink w:anchor="P91">
        <w:r>
          <w:rPr>
            <w:color w:val="0000FF"/>
          </w:rPr>
          <w:t>20 п. 3</w:t>
        </w:r>
      </w:hyperlink>
      <w:r>
        <w:t xml:space="preserve"> приложения, которые вступают в силу с 1 января 2023 года.</w:t>
      </w:r>
    </w:p>
    <w:p w:rsidR="00224719" w:rsidRDefault="00224719">
      <w:pPr>
        <w:pStyle w:val="ConsPlusNormal"/>
        <w:jc w:val="both"/>
      </w:pPr>
    </w:p>
    <w:p w:rsidR="00224719" w:rsidRDefault="00224719">
      <w:pPr>
        <w:pStyle w:val="ConsPlusNormal"/>
        <w:jc w:val="right"/>
      </w:pPr>
      <w:r>
        <w:t>Глава города Великие Луки</w:t>
      </w:r>
    </w:p>
    <w:p w:rsidR="00224719" w:rsidRDefault="00224719">
      <w:pPr>
        <w:pStyle w:val="ConsPlusNormal"/>
        <w:jc w:val="right"/>
      </w:pPr>
      <w:r>
        <w:t>Н.Н.КОЗЛОВСКИЙ</w:t>
      </w:r>
    </w:p>
    <w:p w:rsidR="00224719" w:rsidRDefault="00224719">
      <w:pPr>
        <w:pStyle w:val="ConsPlusNormal"/>
        <w:jc w:val="both"/>
      </w:pPr>
    </w:p>
    <w:p w:rsidR="00224719" w:rsidRDefault="00224719">
      <w:pPr>
        <w:pStyle w:val="ConsPlusNormal"/>
        <w:jc w:val="both"/>
      </w:pPr>
    </w:p>
    <w:p w:rsidR="00224719" w:rsidRDefault="00224719">
      <w:pPr>
        <w:pStyle w:val="ConsPlusNormal"/>
        <w:jc w:val="both"/>
      </w:pPr>
    </w:p>
    <w:p w:rsidR="00224719" w:rsidRDefault="00224719">
      <w:pPr>
        <w:pStyle w:val="ConsPlusNormal"/>
        <w:jc w:val="both"/>
      </w:pPr>
    </w:p>
    <w:p w:rsidR="00224719" w:rsidRDefault="00224719">
      <w:pPr>
        <w:pStyle w:val="ConsPlusNormal"/>
        <w:jc w:val="both"/>
      </w:pPr>
    </w:p>
    <w:p w:rsidR="00224719" w:rsidRDefault="00224719">
      <w:pPr>
        <w:pStyle w:val="ConsPlusNormal"/>
        <w:jc w:val="right"/>
        <w:outlineLvl w:val="0"/>
      </w:pPr>
      <w:r>
        <w:t>Приложение</w:t>
      </w:r>
    </w:p>
    <w:p w:rsidR="00224719" w:rsidRDefault="00224719">
      <w:pPr>
        <w:pStyle w:val="ConsPlusNormal"/>
        <w:jc w:val="right"/>
      </w:pPr>
      <w:r>
        <w:t>к решению</w:t>
      </w:r>
    </w:p>
    <w:p w:rsidR="00224719" w:rsidRDefault="00224719">
      <w:pPr>
        <w:pStyle w:val="ConsPlusNormal"/>
        <w:jc w:val="right"/>
      </w:pPr>
      <w:r>
        <w:t>Великолукской городской Думы</w:t>
      </w:r>
    </w:p>
    <w:p w:rsidR="00224719" w:rsidRDefault="00224719">
      <w:pPr>
        <w:pStyle w:val="ConsPlusNormal"/>
        <w:jc w:val="right"/>
      </w:pPr>
      <w:r>
        <w:t>от 4 марта 2022 г. N 15</w:t>
      </w:r>
    </w:p>
    <w:p w:rsidR="00224719" w:rsidRDefault="00224719">
      <w:pPr>
        <w:pStyle w:val="ConsPlusNormal"/>
        <w:jc w:val="both"/>
      </w:pPr>
    </w:p>
    <w:p w:rsidR="00224719" w:rsidRDefault="00224719">
      <w:pPr>
        <w:pStyle w:val="ConsPlusTitle"/>
        <w:jc w:val="center"/>
      </w:pPr>
      <w:bookmarkStart w:id="1" w:name="P30"/>
      <w:bookmarkEnd w:id="1"/>
      <w:r>
        <w:t>КЛЮЧЕВЫЕ И ИНДИКАТИВНЫЕ ПОКАЗАТЕЛИ ПРИ ОСУЩЕСТВЛЕНИИ</w:t>
      </w:r>
    </w:p>
    <w:p w:rsidR="00224719" w:rsidRDefault="00224719">
      <w:pPr>
        <w:pStyle w:val="ConsPlusTitle"/>
        <w:jc w:val="center"/>
      </w:pPr>
      <w:r>
        <w:t>МУНИЦИПАЛЬНОГО ЗЕМЕЛЬНОГО КОНТРОЛЯ НА ТЕРРИТОРИИ</w:t>
      </w:r>
    </w:p>
    <w:p w:rsidR="00224719" w:rsidRDefault="00224719">
      <w:pPr>
        <w:pStyle w:val="ConsPlusTitle"/>
        <w:jc w:val="center"/>
      </w:pPr>
      <w:r>
        <w:t>МУНИЦИПАЛЬНОГО ОБРАЗОВАНИЯ "ГОРОД ВЕЛИКИЕ ЛУКИ"</w:t>
      </w:r>
    </w:p>
    <w:p w:rsidR="00224719" w:rsidRDefault="00224719">
      <w:pPr>
        <w:pStyle w:val="ConsPlusNormal"/>
        <w:jc w:val="both"/>
      </w:pPr>
    </w:p>
    <w:p w:rsidR="00224719" w:rsidRDefault="00224719">
      <w:pPr>
        <w:pStyle w:val="ConsPlusNormal"/>
        <w:ind w:firstLine="540"/>
        <w:jc w:val="both"/>
      </w:pPr>
      <w:r>
        <w:t xml:space="preserve">1. </w:t>
      </w:r>
      <w:proofErr w:type="gramStart"/>
      <w:r>
        <w:t>Оценка результативности и эффективности деятельности органа муниципального земельного контроля в части осуществления муниципального земельного контроля осуществляется на основе системы показателей результативности и эффективности.</w:t>
      </w:r>
      <w:proofErr w:type="gramEnd"/>
    </w:p>
    <w:p w:rsidR="00224719" w:rsidRDefault="00224719">
      <w:pPr>
        <w:pStyle w:val="ConsPlusNormal"/>
        <w:spacing w:before="220"/>
        <w:ind w:firstLine="540"/>
        <w:jc w:val="both"/>
      </w:pPr>
      <w:r>
        <w:lastRenderedPageBreak/>
        <w:t>В систему показателей результативности и эффективности деятельности органа муниципального земельного контроля входят:</w:t>
      </w:r>
    </w:p>
    <w:p w:rsidR="00224719" w:rsidRDefault="00224719">
      <w:pPr>
        <w:pStyle w:val="ConsPlusNormal"/>
        <w:spacing w:before="220"/>
        <w:ind w:firstLine="540"/>
        <w:jc w:val="both"/>
      </w:pPr>
      <w:r>
        <w:t>1) ключевые показатели и их целевые значения муниципального земельного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орган муниципального земельного контроля;</w:t>
      </w:r>
    </w:p>
    <w:p w:rsidR="00224719" w:rsidRDefault="00224719">
      <w:pPr>
        <w:pStyle w:val="ConsPlusNormal"/>
        <w:spacing w:before="220"/>
        <w:ind w:firstLine="540"/>
        <w:jc w:val="both"/>
      </w:pPr>
      <w:proofErr w:type="gramStart"/>
      <w:r>
        <w:t>2) индикативные показатели муниципального земельного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224719" w:rsidRDefault="00224719">
      <w:pPr>
        <w:pStyle w:val="ConsPlusNormal"/>
        <w:spacing w:before="220"/>
        <w:ind w:firstLine="540"/>
        <w:jc w:val="both"/>
      </w:pPr>
      <w:r>
        <w:t>2. Ключевые показатели и их целевые значения:</w:t>
      </w:r>
    </w:p>
    <w:p w:rsidR="00224719" w:rsidRDefault="002247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268"/>
        <w:gridCol w:w="2211"/>
        <w:gridCol w:w="2835"/>
        <w:gridCol w:w="1191"/>
      </w:tblGrid>
      <w:tr w:rsidR="00224719">
        <w:tc>
          <w:tcPr>
            <w:tcW w:w="9015" w:type="dxa"/>
            <w:gridSpan w:val="5"/>
          </w:tcPr>
          <w:p w:rsidR="00224719" w:rsidRDefault="00224719">
            <w:pPr>
              <w:pStyle w:val="ConsPlusNormal"/>
              <w:jc w:val="center"/>
            </w:pPr>
            <w:r>
              <w:t>Ключевые показатели и их целевые значения</w:t>
            </w:r>
          </w:p>
        </w:tc>
      </w:tr>
      <w:tr w:rsidR="00224719">
        <w:tc>
          <w:tcPr>
            <w:tcW w:w="510" w:type="dxa"/>
          </w:tcPr>
          <w:p w:rsidR="00224719" w:rsidRDefault="00224719">
            <w:pPr>
              <w:pStyle w:val="ConsPlusNormal"/>
            </w:pPr>
          </w:p>
        </w:tc>
        <w:tc>
          <w:tcPr>
            <w:tcW w:w="8505" w:type="dxa"/>
            <w:gridSpan w:val="4"/>
          </w:tcPr>
          <w:p w:rsidR="00224719" w:rsidRDefault="00224719">
            <w:pPr>
              <w:pStyle w:val="ConsPlusNormal"/>
              <w:jc w:val="both"/>
            </w:pPr>
            <w:r>
              <w:t>Показатели результативности, отражающие уровень достижения значимых результатов муниципального земельного контроля</w:t>
            </w:r>
          </w:p>
        </w:tc>
      </w:tr>
      <w:tr w:rsidR="00224719">
        <w:tc>
          <w:tcPr>
            <w:tcW w:w="510" w:type="dxa"/>
          </w:tcPr>
          <w:p w:rsidR="00224719" w:rsidRDefault="0022471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224719" w:rsidRDefault="00224719">
            <w:pPr>
              <w:pStyle w:val="ConsPlusNormal"/>
            </w:pPr>
            <w:r>
              <w:t>Доля земельных участков, используемых не в соответствии с границами, сведения о которых внесены в единый государственный реестр недвижимости</w:t>
            </w:r>
          </w:p>
        </w:tc>
        <w:tc>
          <w:tcPr>
            <w:tcW w:w="2211" w:type="dxa"/>
          </w:tcPr>
          <w:p w:rsidR="00224719" w:rsidRDefault="00224719">
            <w:pPr>
              <w:pStyle w:val="ConsPlusNormal"/>
            </w:pPr>
            <w:r>
              <w:t>Кпр x 100% / Кипн</w:t>
            </w:r>
          </w:p>
        </w:tc>
        <w:tc>
          <w:tcPr>
            <w:tcW w:w="2835" w:type="dxa"/>
          </w:tcPr>
          <w:p w:rsidR="00224719" w:rsidRDefault="00224719">
            <w:pPr>
              <w:pStyle w:val="ConsPlusNormal"/>
            </w:pPr>
            <w:r>
              <w:t>Кипн - количество земельных участков, используемых не в соответствии с границами, сведения о которых внесены в единый государственный реестр недвижимости и в отношении которых в отчетном периоде проводились контрольные мероприятия (шт.);</w:t>
            </w:r>
          </w:p>
          <w:p w:rsidR="00224719" w:rsidRDefault="00224719">
            <w:pPr>
              <w:pStyle w:val="ConsPlusNormal"/>
            </w:pPr>
            <w:r>
              <w:t>Кпр - количество проверенных земельных участков в отчетном периоде (шт.)</w:t>
            </w:r>
          </w:p>
        </w:tc>
        <w:tc>
          <w:tcPr>
            <w:tcW w:w="1191" w:type="dxa"/>
          </w:tcPr>
          <w:p w:rsidR="00224719" w:rsidRDefault="00224719">
            <w:pPr>
              <w:pStyle w:val="ConsPlusNormal"/>
            </w:pPr>
            <w:r>
              <w:t>Не менее 70%</w:t>
            </w:r>
          </w:p>
        </w:tc>
      </w:tr>
      <w:tr w:rsidR="00224719">
        <w:tc>
          <w:tcPr>
            <w:tcW w:w="510" w:type="dxa"/>
          </w:tcPr>
          <w:p w:rsidR="00224719" w:rsidRDefault="0022471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224719" w:rsidRDefault="00224719">
            <w:pPr>
              <w:pStyle w:val="ConsPlusNormal"/>
            </w:pPr>
            <w:r>
              <w:t>Доля земельных участков, используемых не в соответствии с целевым и (или) разрешенным использованием</w:t>
            </w:r>
          </w:p>
        </w:tc>
        <w:tc>
          <w:tcPr>
            <w:tcW w:w="2211" w:type="dxa"/>
          </w:tcPr>
          <w:p w:rsidR="00224719" w:rsidRDefault="00224719">
            <w:pPr>
              <w:pStyle w:val="ConsPlusNormal"/>
            </w:pPr>
            <w:r>
              <w:t>Кпр x 100% / Кипн</w:t>
            </w:r>
          </w:p>
        </w:tc>
        <w:tc>
          <w:tcPr>
            <w:tcW w:w="2835" w:type="dxa"/>
          </w:tcPr>
          <w:p w:rsidR="00224719" w:rsidRDefault="00224719">
            <w:pPr>
              <w:pStyle w:val="ConsPlusNormal"/>
            </w:pPr>
            <w:r>
              <w:t>Кипн - количество земельных участков, используемых не в соответствии с целевым и (или) разрешенным использованием и в отношении которых в отчетном периоде проводились контрольные мероприятия (шт.);</w:t>
            </w:r>
          </w:p>
          <w:p w:rsidR="00224719" w:rsidRDefault="00224719">
            <w:pPr>
              <w:pStyle w:val="ConsPlusNormal"/>
            </w:pPr>
            <w:r>
              <w:t>Кпр - количество проверенных земельных участков в отчетном периоде (шт.)</w:t>
            </w:r>
          </w:p>
        </w:tc>
        <w:tc>
          <w:tcPr>
            <w:tcW w:w="1191" w:type="dxa"/>
          </w:tcPr>
          <w:p w:rsidR="00224719" w:rsidRDefault="00224719">
            <w:pPr>
              <w:pStyle w:val="ConsPlusNormal"/>
            </w:pPr>
            <w:r>
              <w:t>Не менее 70%</w:t>
            </w:r>
          </w:p>
        </w:tc>
      </w:tr>
      <w:tr w:rsidR="00224719">
        <w:tc>
          <w:tcPr>
            <w:tcW w:w="510" w:type="dxa"/>
          </w:tcPr>
          <w:p w:rsidR="00224719" w:rsidRDefault="00224719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268" w:type="dxa"/>
          </w:tcPr>
          <w:p w:rsidR="00224719" w:rsidRDefault="00224719">
            <w:pPr>
              <w:pStyle w:val="ConsPlusNormal"/>
            </w:pPr>
            <w:r>
              <w:t>Доля контрольных мероприятий, на результаты которых поданы обоснованные жалобы</w:t>
            </w:r>
          </w:p>
        </w:tc>
        <w:tc>
          <w:tcPr>
            <w:tcW w:w="2211" w:type="dxa"/>
          </w:tcPr>
          <w:p w:rsidR="00224719" w:rsidRDefault="00224719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 xml:space="preserve"> x 100% / Пф</w:t>
            </w:r>
          </w:p>
        </w:tc>
        <w:tc>
          <w:tcPr>
            <w:tcW w:w="2835" w:type="dxa"/>
          </w:tcPr>
          <w:p w:rsidR="00224719" w:rsidRDefault="00224719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 xml:space="preserve"> - количество обоснованных жалоб в отчетном периоде (шт.);</w:t>
            </w:r>
          </w:p>
          <w:p w:rsidR="00224719" w:rsidRDefault="00224719">
            <w:pPr>
              <w:pStyle w:val="ConsPlusNormal"/>
            </w:pPr>
            <w:r>
              <w:t>Пф - количество проведенных контрольных мероприятий в отчетном периоде (шт.)</w:t>
            </w:r>
          </w:p>
        </w:tc>
        <w:tc>
          <w:tcPr>
            <w:tcW w:w="1191" w:type="dxa"/>
          </w:tcPr>
          <w:p w:rsidR="00224719" w:rsidRDefault="00224719">
            <w:pPr>
              <w:pStyle w:val="ConsPlusNormal"/>
            </w:pPr>
            <w:r>
              <w:t>Не более 10%</w:t>
            </w:r>
          </w:p>
        </w:tc>
      </w:tr>
      <w:tr w:rsidR="00224719">
        <w:tc>
          <w:tcPr>
            <w:tcW w:w="510" w:type="dxa"/>
          </w:tcPr>
          <w:p w:rsidR="00224719" w:rsidRDefault="0022471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224719" w:rsidRDefault="00224719">
            <w:pPr>
              <w:pStyle w:val="ConsPlusNormal"/>
            </w:pPr>
            <w:r>
              <w:t>Доля контролируемых лиц, которые устранили нарушения, выявленные в ходе контрольных мероприятий</w:t>
            </w:r>
          </w:p>
        </w:tc>
        <w:tc>
          <w:tcPr>
            <w:tcW w:w="2211" w:type="dxa"/>
          </w:tcPr>
          <w:p w:rsidR="00224719" w:rsidRDefault="00224719">
            <w:pPr>
              <w:pStyle w:val="ConsPlusNormal"/>
            </w:pPr>
            <w:r>
              <w:t>Кун x 100</w:t>
            </w:r>
            <w:proofErr w:type="gramStart"/>
            <w:r>
              <w:t>% / К</w:t>
            </w:r>
            <w:proofErr w:type="gramEnd"/>
            <w:r>
              <w:t>н</w:t>
            </w:r>
          </w:p>
        </w:tc>
        <w:tc>
          <w:tcPr>
            <w:tcW w:w="2835" w:type="dxa"/>
          </w:tcPr>
          <w:p w:rsidR="00224719" w:rsidRDefault="00224719">
            <w:pPr>
              <w:pStyle w:val="ConsPlusNormal"/>
            </w:pPr>
            <w:r>
              <w:t>Кун - количество контролируемых лиц, которые устранили нарушения земельного законодательства в отчетном периоде;</w:t>
            </w:r>
          </w:p>
          <w:p w:rsidR="00224719" w:rsidRDefault="00224719">
            <w:pPr>
              <w:pStyle w:val="ConsPlusNormal"/>
            </w:pPr>
            <w:r>
              <w:t>Кн - количество контролируемых лиц, у которых в предшествующем отчетном периоде были выявлены нарушения земельного законодательства</w:t>
            </w:r>
          </w:p>
        </w:tc>
        <w:tc>
          <w:tcPr>
            <w:tcW w:w="1191" w:type="dxa"/>
          </w:tcPr>
          <w:p w:rsidR="00224719" w:rsidRDefault="00224719">
            <w:pPr>
              <w:pStyle w:val="ConsPlusNormal"/>
            </w:pPr>
            <w:r>
              <w:t>Не менее 30%</w:t>
            </w:r>
          </w:p>
        </w:tc>
      </w:tr>
    </w:tbl>
    <w:p w:rsidR="00224719" w:rsidRDefault="00224719">
      <w:pPr>
        <w:pStyle w:val="ConsPlusNormal"/>
        <w:jc w:val="both"/>
      </w:pPr>
    </w:p>
    <w:p w:rsidR="00224719" w:rsidRDefault="00224719">
      <w:pPr>
        <w:pStyle w:val="ConsPlusNormal"/>
        <w:ind w:firstLine="540"/>
        <w:jc w:val="both"/>
      </w:pPr>
      <w:r>
        <w:t>3. Индикативные показатели:</w:t>
      </w:r>
    </w:p>
    <w:p w:rsidR="00224719" w:rsidRDefault="002247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247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719" w:rsidRDefault="002247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719" w:rsidRDefault="002247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4719" w:rsidRDefault="00224719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 п. 3 </w:t>
            </w:r>
            <w:hyperlink w:anchor="P1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719" w:rsidRDefault="00224719">
            <w:pPr>
              <w:pStyle w:val="ConsPlusNormal"/>
            </w:pPr>
          </w:p>
        </w:tc>
      </w:tr>
    </w:tbl>
    <w:p w:rsidR="00224719" w:rsidRDefault="00224719">
      <w:pPr>
        <w:pStyle w:val="ConsPlusNormal"/>
        <w:spacing w:before="280"/>
        <w:ind w:firstLine="540"/>
        <w:jc w:val="both"/>
      </w:pPr>
      <w:bookmarkStart w:id="2" w:name="P70"/>
      <w:bookmarkEnd w:id="2"/>
      <w:r>
        <w:t>1. Количество плановых контрольных (надзорных) мероприятий, проведенных за отчетный период;</w:t>
      </w:r>
    </w:p>
    <w:p w:rsidR="00224719" w:rsidRDefault="00224719">
      <w:pPr>
        <w:pStyle w:val="ConsPlusNormal"/>
        <w:spacing w:before="220"/>
        <w:ind w:firstLine="540"/>
        <w:jc w:val="both"/>
      </w:pPr>
      <w:r>
        <w:t>2. Количество внеплановых контрольных (надзорных) мероприятий, проведенных за отчетный период;</w:t>
      </w:r>
    </w:p>
    <w:p w:rsidR="00224719" w:rsidRDefault="00224719">
      <w:pPr>
        <w:pStyle w:val="ConsPlusNormal"/>
        <w:spacing w:before="220"/>
        <w:ind w:firstLine="540"/>
        <w:jc w:val="both"/>
      </w:pPr>
      <w:r>
        <w:t xml:space="preserve">3. Количество внеплановых контрольных (надзорных) мероприятий, проведенных за отчетный период на основании </w:t>
      </w:r>
      <w:proofErr w:type="gramStart"/>
      <w:r>
        <w:t>выявления соответствия объекта контроля</w:t>
      </w:r>
      <w:proofErr w:type="gramEnd"/>
      <w:r>
        <w:t xml:space="preserve">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224719" w:rsidRDefault="00224719">
      <w:pPr>
        <w:pStyle w:val="ConsPlusNormal"/>
        <w:spacing w:before="220"/>
        <w:ind w:firstLine="540"/>
        <w:jc w:val="both"/>
      </w:pPr>
      <w:r>
        <w:t>4. Общее количество контрольных (надзорных) мероприятий с взаимодействием, проведенных за отчетный период;</w:t>
      </w:r>
    </w:p>
    <w:p w:rsidR="00224719" w:rsidRDefault="00224719">
      <w:pPr>
        <w:pStyle w:val="ConsPlusNormal"/>
        <w:spacing w:before="220"/>
        <w:ind w:firstLine="540"/>
        <w:jc w:val="both"/>
      </w:pPr>
      <w:r>
        <w:t>5. Количество контрольных (надзорных) мероприятий с взаимодействием по каждому виду КНМ, проведенных за отчетный период;</w:t>
      </w:r>
    </w:p>
    <w:p w:rsidR="00224719" w:rsidRDefault="00224719">
      <w:pPr>
        <w:pStyle w:val="ConsPlusNormal"/>
        <w:spacing w:before="220"/>
        <w:ind w:firstLine="540"/>
        <w:jc w:val="both"/>
      </w:pPr>
      <w:r>
        <w:t>6.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224719" w:rsidRDefault="00224719">
      <w:pPr>
        <w:pStyle w:val="ConsPlusNormal"/>
        <w:spacing w:before="220"/>
        <w:ind w:firstLine="540"/>
        <w:jc w:val="both"/>
      </w:pPr>
      <w:r>
        <w:t>7. Количество обязательных профилактических визитов, проведенных за отчетный период;</w:t>
      </w:r>
    </w:p>
    <w:p w:rsidR="00224719" w:rsidRDefault="00224719">
      <w:pPr>
        <w:pStyle w:val="ConsPlusNormal"/>
        <w:spacing w:before="220"/>
        <w:ind w:firstLine="540"/>
        <w:jc w:val="both"/>
      </w:pPr>
      <w:r>
        <w:t>8. Количество предостережений о недопустимости нарушения обязательных требований, объявленных за отчетный период;</w:t>
      </w:r>
    </w:p>
    <w:p w:rsidR="00224719" w:rsidRDefault="00224719">
      <w:pPr>
        <w:pStyle w:val="ConsPlusNormal"/>
        <w:spacing w:before="220"/>
        <w:ind w:firstLine="540"/>
        <w:jc w:val="both"/>
      </w:pPr>
      <w:r>
        <w:t>9.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224719" w:rsidRDefault="00224719">
      <w:pPr>
        <w:pStyle w:val="ConsPlusNormal"/>
        <w:spacing w:before="220"/>
        <w:ind w:firstLine="540"/>
        <w:jc w:val="both"/>
      </w:pPr>
      <w:r>
        <w:lastRenderedPageBreak/>
        <w:t>10.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224719" w:rsidRDefault="00224719">
      <w:pPr>
        <w:pStyle w:val="ConsPlusNormal"/>
        <w:spacing w:before="220"/>
        <w:ind w:firstLine="540"/>
        <w:jc w:val="both"/>
      </w:pPr>
      <w:r>
        <w:t>11. Сумма административных штрафов, наложенных по результатам контрольных (надзорных) мероприятий, за отчетный период;</w:t>
      </w:r>
    </w:p>
    <w:p w:rsidR="00224719" w:rsidRDefault="00224719">
      <w:pPr>
        <w:pStyle w:val="ConsPlusNormal"/>
        <w:spacing w:before="220"/>
        <w:ind w:firstLine="540"/>
        <w:jc w:val="both"/>
      </w:pPr>
      <w:r>
        <w:t>12.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224719" w:rsidRDefault="00224719">
      <w:pPr>
        <w:pStyle w:val="ConsPlusNormal"/>
        <w:spacing w:before="220"/>
        <w:ind w:firstLine="540"/>
        <w:jc w:val="both"/>
      </w:pPr>
      <w:r>
        <w:t>13.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224719" w:rsidRDefault="00224719">
      <w:pPr>
        <w:pStyle w:val="ConsPlusNormal"/>
        <w:spacing w:before="220"/>
        <w:ind w:firstLine="540"/>
        <w:jc w:val="both"/>
      </w:pPr>
      <w:r>
        <w:t>14. Общее количество учтенных объектов контроля на конец отчетного периода;</w:t>
      </w:r>
    </w:p>
    <w:p w:rsidR="00224719" w:rsidRDefault="00224719">
      <w:pPr>
        <w:pStyle w:val="ConsPlusNormal"/>
        <w:spacing w:before="220"/>
        <w:ind w:firstLine="540"/>
        <w:jc w:val="both"/>
      </w:pPr>
      <w:r>
        <w:t>15.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224719" w:rsidRDefault="00224719">
      <w:pPr>
        <w:pStyle w:val="ConsPlusNormal"/>
        <w:spacing w:before="220"/>
        <w:ind w:firstLine="540"/>
        <w:jc w:val="both"/>
      </w:pPr>
      <w:r>
        <w:t>16. Количество учтенных контролируемых лиц на конец отчетного периода;</w:t>
      </w:r>
    </w:p>
    <w:p w:rsidR="00224719" w:rsidRDefault="00224719">
      <w:pPr>
        <w:pStyle w:val="ConsPlusNormal"/>
        <w:spacing w:before="220"/>
        <w:ind w:firstLine="540"/>
        <w:jc w:val="both"/>
      </w:pPr>
      <w:r>
        <w:t>17.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224719" w:rsidRDefault="002247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247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719" w:rsidRDefault="002247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719" w:rsidRDefault="002247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4719" w:rsidRDefault="00224719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18 п. 3 </w:t>
            </w:r>
            <w:hyperlink w:anchor="P1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719" w:rsidRDefault="00224719">
            <w:pPr>
              <w:pStyle w:val="ConsPlusNormal"/>
            </w:pPr>
          </w:p>
        </w:tc>
      </w:tr>
    </w:tbl>
    <w:p w:rsidR="00224719" w:rsidRDefault="00224719">
      <w:pPr>
        <w:pStyle w:val="ConsPlusNormal"/>
        <w:spacing w:before="280"/>
        <w:ind w:firstLine="540"/>
        <w:jc w:val="both"/>
      </w:pPr>
      <w:bookmarkStart w:id="3" w:name="P88"/>
      <w:bookmarkEnd w:id="3"/>
      <w:r>
        <w:t>18. Общее количество жалоб, поданных контролируемыми лицами в досудебном порядке за отчетный период;</w:t>
      </w:r>
    </w:p>
    <w:p w:rsidR="00224719" w:rsidRDefault="00224719">
      <w:pPr>
        <w:pStyle w:val="ConsPlusNormal"/>
        <w:spacing w:before="220"/>
        <w:ind w:firstLine="540"/>
        <w:jc w:val="both"/>
      </w:pPr>
      <w:r>
        <w:t>19. Количество жалоб, в отношении которых контрольным (надзорным) органом был нарушен срок рассмотрения, за отчетный период;</w:t>
      </w:r>
    </w:p>
    <w:p w:rsidR="00224719" w:rsidRDefault="002247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247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719" w:rsidRDefault="002247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719" w:rsidRDefault="002247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4719" w:rsidRDefault="00224719">
            <w:pPr>
              <w:pStyle w:val="ConsPlusNormal"/>
              <w:jc w:val="both"/>
            </w:pPr>
            <w:r>
              <w:rPr>
                <w:color w:val="392C69"/>
              </w:rPr>
              <w:t xml:space="preserve">Пп. 20 п. 3 </w:t>
            </w:r>
            <w:hyperlink w:anchor="P1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719" w:rsidRDefault="00224719">
            <w:pPr>
              <w:pStyle w:val="ConsPlusNormal"/>
            </w:pPr>
          </w:p>
        </w:tc>
      </w:tr>
    </w:tbl>
    <w:p w:rsidR="00224719" w:rsidRDefault="00224719">
      <w:pPr>
        <w:pStyle w:val="ConsPlusNormal"/>
        <w:spacing w:before="280"/>
        <w:ind w:firstLine="540"/>
        <w:jc w:val="both"/>
      </w:pPr>
      <w:bookmarkStart w:id="4" w:name="P91"/>
      <w:bookmarkEnd w:id="4"/>
      <w:r>
        <w:t xml:space="preserve">20. Количество жалоб, поданных контролируемыми лицами в досудебном порядке, по </w:t>
      </w:r>
      <w:proofErr w:type="gramStart"/>
      <w:r>
        <w:t>итогам</w:t>
      </w:r>
      <w:proofErr w:type="gramEnd"/>
      <w: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период;</w:t>
      </w:r>
    </w:p>
    <w:p w:rsidR="00224719" w:rsidRDefault="00224719">
      <w:pPr>
        <w:pStyle w:val="ConsPlusNormal"/>
        <w:spacing w:before="220"/>
        <w:ind w:firstLine="540"/>
        <w:jc w:val="both"/>
      </w:pPr>
      <w:r>
        <w:t>21. 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224719" w:rsidRDefault="00224719">
      <w:pPr>
        <w:pStyle w:val="ConsPlusNormal"/>
        <w:spacing w:before="220"/>
        <w:ind w:firstLine="540"/>
        <w:jc w:val="both"/>
      </w:pPr>
      <w:r>
        <w:t>22. 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224719" w:rsidRDefault="00224719">
      <w:pPr>
        <w:pStyle w:val="ConsPlusNormal"/>
        <w:spacing w:before="220"/>
        <w:ind w:firstLine="540"/>
        <w:jc w:val="both"/>
      </w:pPr>
      <w:r>
        <w:t xml:space="preserve">23.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>
        <w:t>результаты</w:t>
      </w:r>
      <w:proofErr w:type="gramEnd"/>
      <w:r>
        <w:t xml:space="preserve"> которых были признаны недействительными и (или) отменены, за отчетный период.</w:t>
      </w:r>
    </w:p>
    <w:p w:rsidR="00224719" w:rsidRDefault="00224719">
      <w:pPr>
        <w:pStyle w:val="ConsPlusNormal"/>
        <w:spacing w:before="220"/>
        <w:ind w:firstLine="540"/>
        <w:jc w:val="both"/>
      </w:pPr>
      <w:r>
        <w:t xml:space="preserve">4. Орган муниципального контроля ежегодно осуществляет подготовку доклада о муниципальном земельном контроле (далее - годовой доклад) с указанием сведений о достижении ключевых показателей и сведений об индикативных показателях муниципального </w:t>
      </w:r>
      <w:r>
        <w:lastRenderedPageBreak/>
        <w:t>земельного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224719" w:rsidRDefault="00224719">
      <w:pPr>
        <w:pStyle w:val="ConsPlusNormal"/>
        <w:spacing w:before="220"/>
        <w:ind w:firstLine="540"/>
        <w:jc w:val="both"/>
      </w:pPr>
      <w:proofErr w:type="gramStart"/>
      <w:r>
        <w:t xml:space="preserve">Годовой доклад органа муниципального контроля в соответствии с </w:t>
      </w:r>
      <w:hyperlink r:id="rId12">
        <w:r>
          <w:rPr>
            <w:color w:val="0000FF"/>
          </w:rPr>
          <w:t>частью 10 статьи 30</w:t>
        </w:r>
      </w:hyperlink>
      <w:r>
        <w:t xml:space="preserve"> Федерального закона N 248-ФЗ должен отвечать требованиям, установленным в </w:t>
      </w:r>
      <w:hyperlink r:id="rId13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07.12.2020 N 2041 "Об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Федерации", и размещаться ежегодно не позднее 15</w:t>
      </w:r>
      <w:proofErr w:type="gramEnd"/>
      <w:r>
        <w:t xml:space="preserve"> марта следующего за </w:t>
      </w:r>
      <w:proofErr w:type="gramStart"/>
      <w:r>
        <w:t>отчетным</w:t>
      </w:r>
      <w:proofErr w:type="gramEnd"/>
      <w:r>
        <w:t xml:space="preserve"> года в сети Интернет на официальном сайте муниципального образования "Город Великие Луки" vluki.reg60.ru.</w:t>
      </w:r>
    </w:p>
    <w:p w:rsidR="00224719" w:rsidRDefault="00224719">
      <w:pPr>
        <w:pStyle w:val="ConsPlusNormal"/>
        <w:jc w:val="both"/>
      </w:pPr>
    </w:p>
    <w:p w:rsidR="00224719" w:rsidRDefault="00224719">
      <w:pPr>
        <w:pStyle w:val="ConsPlusNormal"/>
        <w:jc w:val="both"/>
      </w:pPr>
    </w:p>
    <w:p w:rsidR="00224719" w:rsidRDefault="002247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7AE7" w:rsidRDefault="00224719">
      <w:bookmarkStart w:id="5" w:name="_GoBack"/>
      <w:bookmarkEnd w:id="5"/>
    </w:p>
    <w:sectPr w:rsidR="00797AE7" w:rsidSect="00BD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19"/>
    <w:rsid w:val="00221867"/>
    <w:rsid w:val="00224719"/>
    <w:rsid w:val="0078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7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47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47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7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47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47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28&amp;dst=100088" TargetMode="External"/><Relationship Id="rId13" Type="http://schemas.openxmlformats.org/officeDocument/2006/relationships/hyperlink" Target="https://login.consultant.ru/link/?req=doc&amp;base=LAW&amp;n=4698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6449&amp;dst=269" TargetMode="External"/><Relationship Id="rId12" Type="http://schemas.openxmlformats.org/officeDocument/2006/relationships/hyperlink" Target="https://login.consultant.ru/link/?req=doc&amp;base=LAW&amp;n=465728&amp;dst=1003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318&amp;dst=2354" TargetMode="External"/><Relationship Id="rId11" Type="http://schemas.openxmlformats.org/officeDocument/2006/relationships/hyperlink" Target="https://login.consultant.ru/link/?req=doc&amp;base=RLAW351&amp;n=86277&amp;dst=10023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51&amp;n=86277&amp;dst=101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51&amp;n=98099&amp;dst=1002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</dc:creator>
  <cp:lastModifiedBy>Куликова</cp:lastModifiedBy>
  <cp:revision>1</cp:revision>
  <dcterms:created xsi:type="dcterms:W3CDTF">2024-07-10T09:18:00Z</dcterms:created>
  <dcterms:modified xsi:type="dcterms:W3CDTF">2024-07-10T09:18:00Z</dcterms:modified>
</cp:coreProperties>
</file>