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FF" w:rsidRPr="00954F1E" w:rsidRDefault="009874FF" w:rsidP="004152F5">
      <w:pP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</w:t>
      </w:r>
    </w:p>
    <w:p w:rsidR="00EA493C" w:rsidRPr="00954F1E" w:rsidRDefault="00EA493C" w:rsidP="004152F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493C" w:rsidRPr="00954F1E" w:rsidRDefault="00EA493C" w:rsidP="0041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руководство разработано в соответствии с </w:t>
      </w:r>
      <w:hyperlink r:id="rId8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9874FF"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</w:t>
        </w:r>
        <w:r w:rsidR="009874FF"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46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9874FF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31.07.2020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874FF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248-ФЗ</w:t>
      </w:r>
      <w:r w:rsidR="006A7044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74FF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 информационно-методической поддержки в вопросах соблюдения обязательных требований, надзор за соблюдением которых осуществляет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Комитет по управлению муниципальным имуществом г. Великие Луки (КУМИ г. Великие Луки)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осуществлении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(надзора) контроля.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4152F5" w:rsidRPr="00954F1E" w:rsidRDefault="006A7044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земельный контроль</w:t>
      </w:r>
      <w:r w:rsidR="00EA493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лиц</w:t>
      </w:r>
      <w:proofErr w:type="gramEnd"/>
      <w:r w:rsidR="00EA493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EA493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и систематического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предпринимателями, в том числе относящихся к субъектам малого и среднего предпринимательства, и гражданами своей деятельности.</w:t>
      </w:r>
      <w:proofErr w:type="gramEnd"/>
    </w:p>
    <w:p w:rsidR="004152F5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</w:t>
      </w:r>
      <w:r w:rsidR="00C96CF7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</w:t>
      </w:r>
      <w:r w:rsidR="00C96CF7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контроля, 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осуществляемого 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КУМИ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г. Великие Луки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</w:t>
      </w:r>
      <w:hyperlink r:id="rId9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«О муниципальном земельном контроле на территории муниципального образования «Город Великие Луки», утвержденного Решением Великолукской городской Думы № 107 от 02.11.2021 г.  </w:t>
      </w:r>
      <w:r w:rsidR="00484014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(далее Положение)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6CF7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</w:t>
      </w:r>
      <w:proofErr w:type="gramEnd"/>
      <w:r w:rsidR="004152F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предусмотрена административная ответственность (далее – обязательные требования); исполнение решений, принимаемых по результатам контрольных мероприятий.</w:t>
      </w:r>
    </w:p>
    <w:p w:rsidR="0053323E" w:rsidRPr="00954F1E" w:rsidRDefault="0053323E" w:rsidP="0041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046C41" w:rsidRPr="00954F1E" w:rsidRDefault="00484014" w:rsidP="0041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п.2.5 главы 2 Положения </w:t>
      </w:r>
      <w:r w:rsidR="00046C41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разраб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отаны</w:t>
      </w:r>
      <w:r w:rsidR="00046C41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индикаторы риска нарушения обязательных требований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84014" w:rsidRPr="00954F1E" w:rsidRDefault="00484014" w:rsidP="0041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484014" w:rsidRPr="00954F1E" w:rsidRDefault="00484014" w:rsidP="0041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484014" w:rsidRPr="00954F1E" w:rsidRDefault="00484014" w:rsidP="0041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Длительное </w:t>
      </w:r>
      <w:proofErr w:type="spell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неосвоение</w:t>
      </w:r>
      <w:proofErr w:type="spell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484014" w:rsidRPr="00954F1E" w:rsidRDefault="00484014" w:rsidP="0041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EA493C" w:rsidRPr="00954F1E" w:rsidRDefault="00EA493C" w:rsidP="004152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B88" w:rsidRDefault="00452B88" w:rsidP="0041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Обязанности правообладателей земельных участков</w:t>
      </w:r>
    </w:p>
    <w:p w:rsidR="001915BA" w:rsidRPr="00954F1E" w:rsidRDefault="001915BA" w:rsidP="0041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2B88" w:rsidRPr="00954F1E" w:rsidRDefault="00452B88" w:rsidP="00415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производить платежи за землю;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52B88" w:rsidRPr="00954F1E" w:rsidRDefault="00452B88" w:rsidP="004152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иные требования, предусмотренные Земельным кодексом, федеральными законами. </w:t>
      </w:r>
    </w:p>
    <w:p w:rsidR="00EA493C" w:rsidRPr="00954F1E" w:rsidRDefault="00EA493C" w:rsidP="004152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EA493C" w:rsidP="004152F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использовать земельный участок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возникших прав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0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25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1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13 июля 2015 г. </w:t>
      </w:r>
      <w:r w:rsidR="007F7E08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218-ФЗ </w:t>
      </w:r>
      <w:r w:rsidR="007F7E08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государственной регистрации недвижимости</w:t>
      </w:r>
      <w:r w:rsidR="007F7E08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Федеральный закон </w:t>
      </w:r>
      <w:r w:rsidR="007F7E08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218-ФЗ).</w:t>
      </w:r>
      <w:proofErr w:type="gramEnd"/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на земельные участки удостоверяются документами в порядке, установленном Федеральным </w:t>
      </w:r>
      <w:hyperlink r:id="rId12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E08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218-ФЗ.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  <w:proofErr w:type="gramEnd"/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  <w:proofErr w:type="gramEnd"/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3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25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за данное правонарушение предусмотрена </w:t>
      </w:r>
      <w:hyperlink r:id="rId14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7.1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часто встречающимися такими нарушениями, выявляемыми при проведении контрольно-надзорных мероприятий, в том числе в отношении субъектов малого и среднего предпринимательства, являются расширение границ используемого земельного участка за счет смежных земельных участков. Например, предоставлен земельный участок одной площади, при этом фактически используется земельный участок большей площади.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  <w:proofErr w:type="gramEnd"/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отметить, что права на земельные участки в соответствии со </w:t>
      </w:r>
      <w:hyperlink r:id="rId15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подлежат государственной регистрации.</w:t>
      </w:r>
    </w:p>
    <w:p w:rsidR="00344985" w:rsidRPr="00954F1E" w:rsidRDefault="00344985" w:rsidP="004152F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EA493C" w:rsidP="004152F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юридического лица переоформить право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постоянного (бессрочного) пользования земельным участком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на право аренды или приобрести в собственность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6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  <w:proofErr w:type="gramEnd"/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Переоформление права на земельный участок включает в себя: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</w:t>
      </w:r>
      <w:hyperlink r:id="rId17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, при переоформлении права постоянного (бессрочного) пользования;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решения уполномоченным органом о предоставлении земельного участка на соответствующем праве;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государственную регистрацию права в соответствии с Федеральным </w:t>
      </w:r>
      <w:hyperlink r:id="rId18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218-ФЗ.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9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7.34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</w:t>
      </w:r>
      <w:r w:rsidR="00952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октября 2001 г. (дня вступления в силу Земельного </w:t>
      </w:r>
      <w:hyperlink r:id="rId20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оформлении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праве аренды такого земельного участка.</w:t>
      </w:r>
    </w:p>
    <w:p w:rsidR="00EA493C" w:rsidRPr="00954F1E" w:rsidRDefault="00EA493C" w:rsidP="004152F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Обязанность использовать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</w:t>
      </w:r>
      <w:proofErr w:type="gramEnd"/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участок по целевому назначению в соответствии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gramEnd"/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принадлежностью к той или иной категории земель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и (или) разрешенным использованием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3175D4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EA493C"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</w:t>
        </w:r>
      </w:hyperlink>
      <w:r w:rsidR="00EA493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EA493C" w:rsidRPr="00954F1E" w:rsidRDefault="00EA493C" w:rsidP="007F7E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разрешенного использования земельных участков определяются в соответствии с </w:t>
      </w:r>
      <w:hyperlink r:id="rId22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разрешенного использования земельных участков, утвержденным </w:t>
      </w:r>
      <w:r w:rsidR="0071551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Росреестра от 10.11.2020 № </w:t>
      </w:r>
      <w:proofErr w:type="gramStart"/>
      <w:r w:rsidR="0071551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71551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/0412 «Об утверждении классификатора видов разрешенного использования земельных участков» (Зарегистрировано в Минюсте России 15.12.2020 N 61482).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в Едином государственном реестре недвижимости указано, что земельный участок относится к категории земель 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земли населенных пунктов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для него установлен вид разрешенного использования 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индивидуальное жилищное строительство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этом земельный участок используется для предоставления услуг по ремонту автомобилей.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случае отнесение земельного участка к категории 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земли населенных пунктов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возможность использования земельного участка для ремонта автомобилей при этом вид разрешенного использования 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индивидуальное жилищное строительство</w:t>
      </w:r>
      <w:r w:rsidR="00344985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предусматривает использование земельного участка для ремонта автомобилей.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</w:t>
      </w:r>
      <w:r w:rsidR="00952F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ремонт автомобилей</w:t>
      </w:r>
      <w:r w:rsidR="00952F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в соответствии с </w:t>
      </w:r>
      <w:hyperlink r:id="rId23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разрешенного использования земельных участков, утвержденным </w:t>
      </w:r>
      <w:r w:rsidR="0071551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Росреестра от 10.11.2020 № </w:t>
      </w:r>
      <w:proofErr w:type="gramStart"/>
      <w:r w:rsidR="0071551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71551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/0412</w:t>
      </w: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предусматривает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земельного участка </w:t>
      </w:r>
      <w:hyperlink r:id="rId24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8.8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EA493C" w:rsidRPr="00954F1E" w:rsidRDefault="00EA493C" w:rsidP="004152F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EA493C" w:rsidP="004152F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 использовать земельный участок,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предназначенный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жилищного или иного строительства,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садоводства и огородничества в течение срока,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установленного закона</w:t>
      </w:r>
    </w:p>
    <w:p w:rsidR="00EA493C" w:rsidRPr="00954F1E" w:rsidRDefault="00EA493C" w:rsidP="004152F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3175D4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EA493C"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42</w:t>
        </w:r>
      </w:hyperlink>
      <w:r w:rsidR="00EA493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</w:t>
      </w:r>
      <w:r w:rsidR="00EA493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использованию земельных участков в случаях, если сроки освоения земельных участков предусмотрены договорами.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6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7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42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которое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предусмотрена </w:t>
      </w:r>
      <w:hyperlink r:id="rId28" w:history="1">
        <w:r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 статьи 8.8</w:t>
        </w:r>
      </w:hyperlink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строительстве.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срока, установленного выданным разрешением на строительство, или в течение десяти лет со дня направления уведомления о планируемом строительстве необходимо на земельном участке построить объект недвижимости (объект незавершенного строительства) соответствующий виду разрешенного использования земельного участка.</w:t>
      </w:r>
      <w:proofErr w:type="gramEnd"/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Лицу, виновному в совершении указанного нарушения, по результатам </w:t>
      </w: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проверки соблюдения земельного законодательства</w:t>
      </w:r>
      <w:proofErr w:type="gramEnd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EA493C" w:rsidP="004152F5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правонарушения в области охраны</w:t>
      </w:r>
    </w:p>
    <w:p w:rsidR="00EA493C" w:rsidRPr="00954F1E" w:rsidRDefault="00EA493C" w:rsidP="004152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и использования земель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93C" w:rsidRPr="00954F1E" w:rsidRDefault="003175D4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history="1">
        <w:r w:rsidR="00EA493C" w:rsidRPr="00954F1E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XIII</w:t>
        </w:r>
      </w:hyperlink>
      <w:r w:rsidR="00EA493C"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EA493C" w:rsidRPr="00954F1E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314F59" w:rsidRPr="00344985" w:rsidRDefault="00EA493C" w:rsidP="00415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F1E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</w:t>
      </w:r>
      <w:r w:rsidRPr="00344985">
        <w:rPr>
          <w:rFonts w:ascii="Times New Roman" w:hAnsi="Times New Roman" w:cs="Times New Roman"/>
          <w:sz w:val="24"/>
          <w:szCs w:val="24"/>
        </w:rPr>
        <w:t>, или за их счет.</w:t>
      </w:r>
      <w:proofErr w:type="gramEnd"/>
    </w:p>
    <w:sectPr w:rsidR="00314F59" w:rsidRPr="00344985" w:rsidSect="00FE1EA7">
      <w:headerReference w:type="default" r:id="rId30"/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D4" w:rsidRDefault="003175D4">
      <w:pPr>
        <w:spacing w:after="0" w:line="240" w:lineRule="auto"/>
      </w:pPr>
      <w:r>
        <w:separator/>
      </w:r>
    </w:p>
  </w:endnote>
  <w:endnote w:type="continuationSeparator" w:id="0">
    <w:p w:rsidR="003175D4" w:rsidRDefault="0031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D4" w:rsidRDefault="003175D4">
      <w:pPr>
        <w:spacing w:after="0" w:line="240" w:lineRule="auto"/>
      </w:pPr>
      <w:r>
        <w:separator/>
      </w:r>
    </w:p>
  </w:footnote>
  <w:footnote w:type="continuationSeparator" w:id="0">
    <w:p w:rsidR="003175D4" w:rsidRDefault="0031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C9" w:rsidRDefault="00542D7C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1DE9"/>
    <w:multiLevelType w:val="hybridMultilevel"/>
    <w:tmpl w:val="9846437C"/>
    <w:lvl w:ilvl="0" w:tplc="35EE5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CC6D82"/>
    <w:multiLevelType w:val="multilevel"/>
    <w:tmpl w:val="CE4E294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3C"/>
    <w:rsid w:val="0000076F"/>
    <w:rsid w:val="00046C41"/>
    <w:rsid w:val="001355DD"/>
    <w:rsid w:val="00162CCF"/>
    <w:rsid w:val="0018019A"/>
    <w:rsid w:val="001915BA"/>
    <w:rsid w:val="001951E0"/>
    <w:rsid w:val="002A18AF"/>
    <w:rsid w:val="00314F59"/>
    <w:rsid w:val="003175D4"/>
    <w:rsid w:val="00344985"/>
    <w:rsid w:val="004152F5"/>
    <w:rsid w:val="00426167"/>
    <w:rsid w:val="00452B88"/>
    <w:rsid w:val="00484014"/>
    <w:rsid w:val="0053323E"/>
    <w:rsid w:val="00542D7C"/>
    <w:rsid w:val="006A7044"/>
    <w:rsid w:val="0071551C"/>
    <w:rsid w:val="007F7E08"/>
    <w:rsid w:val="008B709A"/>
    <w:rsid w:val="009458B3"/>
    <w:rsid w:val="00952F18"/>
    <w:rsid w:val="00954F1E"/>
    <w:rsid w:val="009874FF"/>
    <w:rsid w:val="009C5029"/>
    <w:rsid w:val="00AC13D0"/>
    <w:rsid w:val="00AE1850"/>
    <w:rsid w:val="00C96CF7"/>
    <w:rsid w:val="00D96509"/>
    <w:rsid w:val="00EA493C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52F5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42D7C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D7C"/>
  </w:style>
  <w:style w:type="paragraph" w:styleId="a6">
    <w:name w:val="Balloon Text"/>
    <w:basedOn w:val="a"/>
    <w:link w:val="a7"/>
    <w:uiPriority w:val="99"/>
    <w:semiHidden/>
    <w:unhideWhenUsed/>
    <w:rsid w:val="0054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52F5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42D7C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D7C"/>
  </w:style>
  <w:style w:type="paragraph" w:styleId="a6">
    <w:name w:val="Balloon Text"/>
    <w:basedOn w:val="a"/>
    <w:link w:val="a7"/>
    <w:uiPriority w:val="99"/>
    <w:semiHidden/>
    <w:unhideWhenUsed/>
    <w:rsid w:val="0054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32484F21B4500E319CA7BCB72A1207639E028DB7D08A53A0D39CC995DB3EB791238954270846039A048C96B4EB5B6195319C392E9O2G" TargetMode="External"/><Relationship Id="rId13" Type="http://schemas.openxmlformats.org/officeDocument/2006/relationships/hyperlink" Target="consultantplus://offline/ref=2C532484F21B4500E319CA7BCB72A1207639E621DF7F08A53A0D39CC995DB3EB791238974A778D356BEF49952F12A6B616531BC58E923676E7ODG" TargetMode="External"/><Relationship Id="rId18" Type="http://schemas.openxmlformats.org/officeDocument/2006/relationships/hyperlink" Target="consultantplus://offline/ref=2C532484F21B4500E319CA7BCB72A1207639E72BD07F08A53A0D39CC995DB3EB6B12609B4A7E91346EFA1FC469E4O5G" TargetMode="External"/><Relationship Id="rId26" Type="http://schemas.openxmlformats.org/officeDocument/2006/relationships/hyperlink" Target="consultantplus://offline/ref=2C532484F21B4500E319CA7BCB72A1207639E72BDE7208A53A0D39CC995DB3EB6B12609B4A7E91346EFA1FC469E4O5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C532484F21B4500E319CA7BCB72A1207639E621DF7F08A53A0D39CC995DB3EB791238974A778F326AEF49952F12A6B616531BC58E923676E7O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532484F21B4500E319CA7BCB72A1207639E72BD07F08A53A0D39CC995DB3EB6B12609B4A7E91346EFA1FC469E4O5G" TargetMode="External"/><Relationship Id="rId17" Type="http://schemas.openxmlformats.org/officeDocument/2006/relationships/hyperlink" Target="consultantplus://offline/ref=2C532484F21B4500E319CA7BCB72A1207639E621DF7F08A53A0D39CC995DB3EB6B12609B4A7E91346EFA1FC469E4O5G" TargetMode="External"/><Relationship Id="rId25" Type="http://schemas.openxmlformats.org/officeDocument/2006/relationships/hyperlink" Target="consultantplus://offline/ref=2C532484F21B4500E319CA7BCB72A1207639E621DF7F08A53A0D39CC995DB3EB791238974A778C3D69EF49952F12A6B616531BC58E923676E7O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532484F21B4500E319CA7BCB72A1207639E621DF7F08A53A0D39CC995DB3EB6B12609B4A7E91346EFA1FC469E4O5G" TargetMode="External"/><Relationship Id="rId20" Type="http://schemas.openxmlformats.org/officeDocument/2006/relationships/hyperlink" Target="consultantplus://offline/ref=2C532484F21B4500E319CA7BCB72A1207639E621DF7F08A53A0D39CC995DB3EB6B12609B4A7E91346EFA1FC469E4O5G" TargetMode="External"/><Relationship Id="rId29" Type="http://schemas.openxmlformats.org/officeDocument/2006/relationships/hyperlink" Target="consultantplus://offline/ref=2C532484F21B4500E319CA7BCB72A1207639E621DF7F08A53A0D39CC995DB3EB791238974A77893460EF49952F12A6B616531BC58E923676E7OD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532484F21B4500E319CA7BCB72A1207639E72BD07F08A53A0D39CC995DB3EB6B12609B4A7E91346EFA1FC469E4O5G" TargetMode="External"/><Relationship Id="rId24" Type="http://schemas.openxmlformats.org/officeDocument/2006/relationships/hyperlink" Target="consultantplus://offline/ref=2C532484F21B4500E319CA7BCB72A1207639E621DF7C08A53A0D39CC995DB3EB7912389148758A3F3CB559916647A2A81F4B05C19092E3O4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532484F21B4500E319CA7BCB72A1207639E621DF7F08A53A0D39CC995DB3EB791238974A778D356FEF49952F12A6B616531BC58E923676E7ODG" TargetMode="External"/><Relationship Id="rId23" Type="http://schemas.openxmlformats.org/officeDocument/2006/relationships/hyperlink" Target="consultantplus://offline/ref=2C532484F21B4500E319CA7BCB72A120713AE02AD07308A53A0D39CC995DB3EB791238974A778F3569EF49952F12A6B616531BC58E923676E7ODG" TargetMode="External"/><Relationship Id="rId28" Type="http://schemas.openxmlformats.org/officeDocument/2006/relationships/hyperlink" Target="consultantplus://offline/ref=2C532484F21B4500E319CA7BCB72A1207639E621DF7C08A53A0D39CC995DB3EB791238904E778C3F3CB559916647A2A81F4B05C19092E3O4G" TargetMode="External"/><Relationship Id="rId10" Type="http://schemas.openxmlformats.org/officeDocument/2006/relationships/hyperlink" Target="consultantplus://offline/ref=2C532484F21B4500E319CA7BCB72A1207639E621DF7F08A53A0D39CC995DB3EB791238974F7E8B3F3CB559916647A2A81F4B05C19092E3O4G" TargetMode="External"/><Relationship Id="rId19" Type="http://schemas.openxmlformats.org/officeDocument/2006/relationships/hyperlink" Target="consultantplus://offline/ref=2C532484F21B4500E319CA7BCB72A1207639E621DF7C08A53A0D39CC995DB3EB79123890497E8C3F3CB559916647A2A81F4B05C19092E3O4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32484F21B4500E319CA7BCB72A120713EE020D87308A53A0D39CC995DB3EB791238974A778F356FEF49952F12A6B616531BC58E923676E7ODG" TargetMode="External"/><Relationship Id="rId14" Type="http://schemas.openxmlformats.org/officeDocument/2006/relationships/hyperlink" Target="consultantplus://offline/ref=2C532484F21B4500E319CA7BCB72A1207639E621DF7C08A53A0D39CC995DB3EB79123890497F8D3F3CB559916647A2A81F4B05C19092E3O4G" TargetMode="External"/><Relationship Id="rId22" Type="http://schemas.openxmlformats.org/officeDocument/2006/relationships/hyperlink" Target="consultantplus://offline/ref=2C532484F21B4500E319CA7BCB72A120713AE02AD07308A53A0D39CC995DB3EB791238974A778F3569EF49952F12A6B616531BC58E923676E7ODG" TargetMode="External"/><Relationship Id="rId27" Type="http://schemas.openxmlformats.org/officeDocument/2006/relationships/hyperlink" Target="consultantplus://offline/ref=2C532484F21B4500E319CA7BCB72A1207639E621DF7F08A53A0D39CC995DB3EB791238974A778C3D69EF49952F12A6B616531BC58E923676E7OD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Куликова</cp:lastModifiedBy>
  <cp:revision>13</cp:revision>
  <cp:lastPrinted>2024-05-08T09:03:00Z</cp:lastPrinted>
  <dcterms:created xsi:type="dcterms:W3CDTF">2024-04-26T11:02:00Z</dcterms:created>
  <dcterms:modified xsi:type="dcterms:W3CDTF">2024-07-10T08:46:00Z</dcterms:modified>
</cp:coreProperties>
</file>