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5922"/>
        <w:gridCol w:w="4534"/>
      </w:tblGrid>
      <w:tr w:rsidR="00FD1A02">
        <w:trPr>
          <w:trHeight w:val="1266"/>
        </w:trPr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1A02" w:rsidRDefault="00FD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D1A02" w:rsidRDefault="00FD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FD1A02" w:rsidRDefault="00574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FD1A02" w:rsidRDefault="005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Контрольно-счетной</w:t>
            </w:r>
          </w:p>
          <w:p w:rsidR="00FD1A02" w:rsidRDefault="005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палаты города Великие Луки</w:t>
            </w:r>
          </w:p>
          <w:p w:rsidR="00FD1A02" w:rsidRDefault="005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01-03/33</w:t>
            </w:r>
          </w:p>
          <w:p w:rsidR="00FD1A02" w:rsidRDefault="005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 редакции от 25.04.2024 № 01-03/12, от 10.07.2024 № 01-03/16, от 23.09.2024 №01-03/20, от 04.10.2024 №01-03/21)</w:t>
            </w:r>
          </w:p>
        </w:tc>
      </w:tr>
      <w:tr w:rsidR="00FD1A02"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1A02" w:rsidRDefault="00FD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FD1A02" w:rsidRDefault="00FD1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A02" w:rsidRDefault="00574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D1A02" w:rsidRDefault="00574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Контрольно-счетной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Великие Луки</w:t>
      </w:r>
    </w:p>
    <w:p w:rsidR="00FD1A02" w:rsidRDefault="00574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FD1A02" w:rsidRDefault="00FD1A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1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3"/>
        <w:gridCol w:w="5332"/>
        <w:gridCol w:w="2227"/>
        <w:gridCol w:w="1724"/>
        <w:gridCol w:w="236"/>
        <w:gridCol w:w="236"/>
        <w:gridCol w:w="236"/>
        <w:gridCol w:w="236"/>
        <w:gridCol w:w="236"/>
      </w:tblGrid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Ориентировочный срок начала проведения мероприятия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205"/>
        </w:trPr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D1A02" w:rsidRDefault="005741F2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FD1A02" w:rsidRDefault="00FD1A0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  <w:tc>
          <w:tcPr>
            <w:tcW w:w="236" w:type="dxa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формирования и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задания на оказание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услуг (выполнения работ) муниципальными бюджетными учреждениями, подведомственными МУ «Комитет культуры Администрации города Великие Луки»  на 2023 год и плановый период 2024 и 2025 годов» (</w:t>
            </w:r>
            <w:hyperlink r:id="rId5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МБУК «Городской Дом культуры имени Ленина»)</w:t>
              </w:r>
            </w:hyperlink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84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бюджетной отчетности отдельных главных распорядителей средств бюджета города Великие Луки за 2023 год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84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исполнения полномочий в сфере управления и распоряжения муниципальным имуществом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полнота поступления доходов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 муниципального образования «Город Великие Луки» в 2022-2023 годах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договорам за установку и эксплуатацию рекламных конструкций на территории города Великие Луки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  <w:p w:rsidR="00FD1A02" w:rsidRDefault="00FD1A02">
            <w:pPr>
              <w:widowControl w:val="0"/>
            </w:pPr>
          </w:p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826"/>
        </w:trPr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редакции приказа от 23.09.2024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01-03/20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D1A02" w:rsidRDefault="00FD1A02">
            <w:pPr>
              <w:widowControl w:val="0"/>
            </w:pPr>
          </w:p>
        </w:tc>
        <w:tc>
          <w:tcPr>
            <w:tcW w:w="236" w:type="dxa"/>
          </w:tcPr>
          <w:p w:rsidR="00FD1A02" w:rsidRDefault="00FD1A02">
            <w:pPr>
              <w:widowControl w:val="0"/>
            </w:pPr>
          </w:p>
        </w:tc>
        <w:tc>
          <w:tcPr>
            <w:tcW w:w="236" w:type="dxa"/>
          </w:tcPr>
          <w:p w:rsidR="00FD1A02" w:rsidRDefault="00FD1A02">
            <w:pPr>
              <w:widowControl w:val="0"/>
            </w:pPr>
          </w:p>
        </w:tc>
        <w:tc>
          <w:tcPr>
            <w:tcW w:w="236" w:type="dxa"/>
          </w:tcPr>
          <w:p w:rsidR="00FD1A02" w:rsidRDefault="00FD1A02">
            <w:pPr>
              <w:widowControl w:val="0"/>
            </w:pPr>
          </w:p>
        </w:tc>
        <w:tc>
          <w:tcPr>
            <w:tcW w:w="236" w:type="dxa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84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законности и эффективности расходования бюджетных средств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озеленение и содержание зеленых насаждений, анализ достигнутых результатов» за 2022-2023 гг. и текущий период 2024 года»,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 элементами аудита закупок товаров,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работ, услуг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27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использования бюджетных средств, выделенных в 2023 году и текущем периоде 2024 года муниципальным учреждениям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на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работников муниципальных образовательных организаций» в рамках реализации подпрограммы «Развитие муниципальной сферы образования города Великие Луки» муниципальной программы «Развитие образования, реализация молодежной политики, укреп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гражданского единства в городе Великие Луки»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360"/>
        </w:trPr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1.6-1.7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приказом от 23.09.2024 №01-03/20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371"/>
        </w:trPr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1.8 </w:t>
            </w:r>
            <w:proofErr w:type="spellStart"/>
            <w:r w:rsidRPr="00B85DE2">
              <w:rPr>
                <w:rFonts w:ascii="Times New Roman" w:hAnsi="Times New Roman" w:cs="Times New Roman"/>
                <w:b/>
                <w:sz w:val="24"/>
                <w:szCs w:val="24"/>
              </w:rPr>
              <w:t>искл</w:t>
            </w:r>
            <w:proofErr w:type="spellEnd"/>
            <w:r w:rsidRPr="00B85DE2">
              <w:rPr>
                <w:rFonts w:ascii="Times New Roman" w:hAnsi="Times New Roman" w:cs="Times New Roman"/>
                <w:b/>
                <w:sz w:val="24"/>
                <w:szCs w:val="24"/>
              </w:rPr>
              <w:t>. приказом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04.10.2024 № 01-03/21</w:t>
            </w:r>
          </w:p>
          <w:p w:rsidR="00FD1A02" w:rsidRDefault="00FD1A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123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расходования бюджетных средств, выделенных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«Содержание городского пляжа в 2024 году» в рамках подпрограммы «Благоустройство города Великие Луки» муниципальной программы «Развитие жилищно-коммунального хозяйства и повышение энергетической эффективности в городе Великие Луки»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 аппарата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617"/>
        </w:trPr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B85D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 приказом</w:t>
            </w:r>
            <w:r w:rsidR="0057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10.07.2024 № 01-03/16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353"/>
        </w:trPr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A02" w:rsidRDefault="005741F2">
            <w:pPr>
              <w:pStyle w:val="1"/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Экспертно-аналитические мероприятия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FD1A02" w:rsidRDefault="00FD1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D1A02" w:rsidRDefault="00FD1A02">
            <w:pPr>
              <w:widowControl w:val="0"/>
            </w:pPr>
          </w:p>
        </w:tc>
        <w:tc>
          <w:tcPr>
            <w:tcW w:w="236" w:type="dxa"/>
          </w:tcPr>
          <w:p w:rsidR="00FD1A02" w:rsidRDefault="00FD1A02">
            <w:pPr>
              <w:widowControl w:val="0"/>
            </w:pPr>
          </w:p>
        </w:tc>
        <w:tc>
          <w:tcPr>
            <w:tcW w:w="236" w:type="dxa"/>
          </w:tcPr>
          <w:p w:rsidR="00FD1A02" w:rsidRDefault="00FD1A02">
            <w:pPr>
              <w:widowControl w:val="0"/>
            </w:pPr>
          </w:p>
        </w:tc>
        <w:tc>
          <w:tcPr>
            <w:tcW w:w="236" w:type="dxa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планирования и исполнения прогнозного плана приватизации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муниципального образования «Город Великие Луки»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 2022 – 2023 годы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Экспертиза отчета об исполнении бюджета города Великие Луки за 2023 год на основании данных внешней проверки годовой бюджетной отчетности главных распорядителей средств бюджета города Великие Луки, главных администраторов доходов бю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джета города Великие Луки и главного администратора источников финансирования дефицита бюджета города Великие Луки и оформление заключения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43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Экспертиза отчетов об исполнении муниципальных программ за 2023 год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исполнения бюджета муниципального образования «Город Великие Луки»:</w:t>
            </w:r>
          </w:p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 1 квартал 2024 года,</w:t>
            </w:r>
          </w:p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 1 полугодие 2024 года,</w:t>
            </w:r>
          </w:p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 9 месяцев 2024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июль, октябрь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мероприятий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 на территории муниципального образования «Город Великие Луки»</w:t>
            </w:r>
          </w:p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2023 год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7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Аудит закупок товаров, работ, услуг за счет средств бюджета города Великие Луки в </w:t>
            </w:r>
            <w:hyperlink r:id="rId6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МБУК «Городской Дом культуры имени Ленина» з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 2022-2023 г.</w:t>
              </w:r>
            </w:hyperlink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7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расходования бюджетных средств на исполнение судебных актов по обращению взыскания на средства бюджета муниципального образования и иных судебных актов за 2023 год и текущий период 2024 года.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7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Аудит в сфере закупок товаров, работ и услуг за счет средств бюджета города Великие Луки в 2023 году и в текущем периоде 2024 года на реализацию основного мероприятия «Обеспечение мероприятий по развитию и сохранению материально-технической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базы учреждений образования» по подпрограмме «Развитие муниципальной сферы образования города Великие Луки» муниципальной программы «Развитие образования, реализация молодежной политики, укрепление гражданского единства в городе Великие Луки» в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ых учреждениях образования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Экспертиза проекта бюджета муниципального образования «Город Великие Луки» на очередной финансовый год и плановый период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Экспертиза проектов изменений, вносимых в 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в 2024 году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10 дней со дня поступления материалов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муниципальных программ бюджета города Великие Луки за 1 полугодие 2024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обобщенной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по результатам аудита в сфере закупок за 2023 год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FD1A0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FD1A0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FD1A0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246"/>
        </w:trPr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D1A02" w:rsidRDefault="005741F2">
            <w:pPr>
              <w:pStyle w:val="1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FD1A02" w:rsidRDefault="00FD1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  <w:tc>
          <w:tcPr>
            <w:tcW w:w="236" w:type="dxa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Великолукскую городскую Думу отчета о деятельности Контрольно-счетной палаты города Великие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Луки за 2023 год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Союза муниципальных контрольно-счетных органов, представление отчетных и статистических данных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дополнительного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специалистов Контрольно-счетной палаты города Великие Луки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Великолукской городской Думы, ее комиссий, в заседаниях (семинарах-совещаниях) Администрации г. Великие Луки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плана работы Контрольно-счетной палаты города Великие Луки на 2025 год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5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плана мероприятий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города Великие Луки на 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отчета о реализации плана мероприятий по противодействию коррупции в Контрольно-счетной палате города Великие Луки за 2024 год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(внесение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изменений, дополнений) стандартов деятельности Контрольно-счетной палаты города Великие Луки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руководитель аппарата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контрольно-счетными органами в целях выявления и пресечения нарушений в финансово-бюджетной сфере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поступления запросов, материалов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D1A02" w:rsidRDefault="00FD1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обращений и организация приема граждан по вопросам, входящим в компетенцию Контрольно-счетной палаты города Великие Луки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Информационная и иная деятельность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 проведенных контрольных и экспертно-аналитических мероприятий в Великолукскую городскую Думу и Главе города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  <w:tr w:rsidR="00FD1A02" w:rsidTr="005741F2">
        <w:trPr>
          <w:trHeight w:val="157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2" w:rsidRDefault="005741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размещение на официальном сайте муниципального образования «Город Великие Луки» в сети «И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нтернет» информации о проведенных контрольных и экспертно-аналитических мероприятиях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A02" w:rsidRDefault="0057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708" w:type="dxa"/>
            <w:gridSpan w:val="3"/>
          </w:tcPr>
          <w:p w:rsidR="00FD1A02" w:rsidRDefault="00FD1A02">
            <w:pPr>
              <w:widowControl w:val="0"/>
            </w:pPr>
          </w:p>
        </w:tc>
        <w:tc>
          <w:tcPr>
            <w:tcW w:w="472" w:type="dxa"/>
            <w:gridSpan w:val="2"/>
          </w:tcPr>
          <w:p w:rsidR="00FD1A02" w:rsidRDefault="00FD1A02">
            <w:pPr>
              <w:widowControl w:val="0"/>
            </w:pPr>
          </w:p>
        </w:tc>
      </w:tr>
    </w:tbl>
    <w:p w:rsidR="00FD1A02" w:rsidRDefault="00FD1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02" w:rsidRDefault="005741F2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FD1A02">
      <w:pgSz w:w="11906" w:h="16838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A48F5"/>
    <w:multiLevelType w:val="multilevel"/>
    <w:tmpl w:val="2334F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78D7F99"/>
    <w:multiLevelType w:val="multilevel"/>
    <w:tmpl w:val="C8A613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9F6FD9"/>
    <w:multiLevelType w:val="multilevel"/>
    <w:tmpl w:val="3B22F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02"/>
    <w:rsid w:val="005741F2"/>
    <w:rsid w:val="00B85DE2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151C"/>
  <w15:docId w15:val="{F3FC6508-9CFE-47C2-B554-2561E648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E5"/>
    <w:pPr>
      <w:spacing w:after="200" w:line="276" w:lineRule="auto"/>
    </w:pPr>
    <w:rPr>
      <w:rFonts w:eastAsia="SimSun" w:cs="Calibri"/>
      <w:lang w:eastAsia="ar-SA"/>
    </w:rPr>
  </w:style>
  <w:style w:type="paragraph" w:styleId="3">
    <w:name w:val="heading 3"/>
    <w:basedOn w:val="a"/>
    <w:link w:val="30"/>
    <w:uiPriority w:val="9"/>
    <w:qFormat/>
    <w:rsid w:val="00E16FDB"/>
    <w:pPr>
      <w:suppressAutoHyphens w:val="0"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E16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16FD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D0779"/>
    <w:rPr>
      <w:rFonts w:ascii="Segoe UI" w:eastAsia="SimSun" w:hAnsi="Segoe UI" w:cs="Segoe UI"/>
      <w:sz w:val="18"/>
      <w:szCs w:val="18"/>
      <w:lang w:eastAsia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906CE5"/>
    <w:pPr>
      <w:pBdr>
        <w:bottom w:val="dashed" w:sz="6" w:space="19" w:color="DEDEDE"/>
      </w:pBdr>
      <w:suppressAutoHyphens w:val="0"/>
      <w:spacing w:beforeAutospacing="1" w:afterAutospacing="1" w:line="24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qFormat/>
    <w:rsid w:val="00906CE5"/>
    <w:pPr>
      <w:ind w:left="720"/>
    </w:pPr>
  </w:style>
  <w:style w:type="paragraph" w:styleId="aa">
    <w:name w:val="Balloon Text"/>
    <w:basedOn w:val="a"/>
    <w:uiPriority w:val="99"/>
    <w:semiHidden/>
    <w:unhideWhenUsed/>
    <w:qFormat/>
    <w:rsid w:val="001D077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Grid Table Light"/>
    <w:basedOn w:val="a1"/>
    <w:uiPriority w:val="40"/>
    <w:rsid w:val="000971CD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&amp;cad=rja&amp;uact=8&amp;ved=2ahUKEwj06-WTpZz8AhXPlYsKHf-zDG0QFnoECA0QAQ&amp;url=https%3A%2F%2Fvk.com%2Fmuzeumvl&amp;usg=AOvVaw1BGPcO4XsItWudKjClvuGZ" TargetMode="External"/><Relationship Id="rId5" Type="http://schemas.openxmlformats.org/officeDocument/2006/relationships/hyperlink" Target="https://www.google.com/url?sa=t&amp;rct=j&amp;q=&amp;esrc=s&amp;source=web&amp;cd=&amp;cad=rja&amp;uact=8&amp;ved=2ahUKEwj06-WTpZz8AhXPlYsKHf-zDG0QFnoECA0QAQ&amp;url=https%3A%2F%2Fvk.com%2Fmuzeumvl&amp;usg=AOvVaw1BGPcO4XsItWudKjClvuG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Мойжес</dc:creator>
  <dc:description/>
  <cp:lastModifiedBy>Елена М. Беляева</cp:lastModifiedBy>
  <cp:revision>93</cp:revision>
  <cp:lastPrinted>2023-11-08T13:05:00Z</cp:lastPrinted>
  <dcterms:created xsi:type="dcterms:W3CDTF">2023-12-04T10:46:00Z</dcterms:created>
  <dcterms:modified xsi:type="dcterms:W3CDTF">2024-10-04T11:03:00Z</dcterms:modified>
  <dc:language>ru-RU</dc:language>
</cp:coreProperties>
</file>