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939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381"/>
      </w:tblGrid>
      <w:tr w:rsidR="004C25A1" w:rsidRPr="00102D77" w:rsidTr="000E1101">
        <w:trPr>
          <w:trHeight w:val="299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0E1101">
        <w:trPr>
          <w:trHeight w:val="180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004C0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004C0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50304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004C0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338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AF4" w:rsidRDefault="0012231C" w:rsidP="006A2AF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</w:p>
          <w:p w:rsidR="004C25A1" w:rsidRPr="00416DB6" w:rsidRDefault="0034673C" w:rsidP="0034673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мерно в 90 метрах в восточном направлении от земельного участка по ул. Котовского,16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5319D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5319D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5319D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bookmarkStart w:id="0" w:name="_GoBack"/>
      <w:bookmarkEnd w:id="0"/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Pr="005C5429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СОГЛАСОВАНО:</w:t>
      </w:r>
    </w:p>
    <w:p w:rsidR="00B15E30" w:rsidRPr="005C5429" w:rsidRDefault="00B15E30" w:rsidP="00B15E30">
      <w:pPr>
        <w:suppressAutoHyphens/>
        <w:autoSpaceDN w:val="0"/>
        <w:spacing w:after="0" w:line="274" w:lineRule="exact"/>
        <w:ind w:firstLine="708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B15E30" w:rsidRPr="005C5429" w:rsidRDefault="00B15E30" w:rsidP="00B15E30">
      <w:pPr>
        <w:pStyle w:val="Standard"/>
        <w:jc w:val="both"/>
        <w:rPr>
          <w:rFonts w:eastAsia="Times New Roman" w:cs="Times New Roman"/>
          <w:color w:val="auto"/>
          <w:lang w:val="ru-RU" w:bidi="ar-SA"/>
        </w:rPr>
      </w:pPr>
      <w:r>
        <w:rPr>
          <w:rFonts w:eastAsia="Times New Roman" w:cs="Times New Roman"/>
          <w:color w:val="auto"/>
          <w:lang w:val="ru-RU" w:bidi="ar-SA"/>
        </w:rPr>
        <w:t>Председатель</w:t>
      </w:r>
      <w:r w:rsidRPr="005C5429">
        <w:rPr>
          <w:rFonts w:eastAsia="Times New Roman" w:cs="Times New Roman"/>
          <w:color w:val="auto"/>
          <w:lang w:val="ru-RU" w:bidi="ar-SA"/>
        </w:rPr>
        <w:t xml:space="preserve"> </w:t>
      </w:r>
      <w:r>
        <w:rPr>
          <w:rFonts w:eastAsia="Times New Roman" w:cs="Times New Roman"/>
          <w:color w:val="auto"/>
          <w:lang w:val="ru-RU" w:bidi="ar-SA"/>
        </w:rPr>
        <w:t>К</w:t>
      </w:r>
      <w:r w:rsidRPr="005C5429">
        <w:rPr>
          <w:rFonts w:eastAsia="Times New Roman" w:cs="Times New Roman"/>
          <w:color w:val="auto"/>
          <w:lang w:val="ru-RU" w:bidi="ar-SA"/>
        </w:rPr>
        <w:t>омитета по управлению</w:t>
      </w:r>
    </w:p>
    <w:p w:rsidR="00B15E30" w:rsidRPr="005C5429" w:rsidRDefault="00B15E30" w:rsidP="00B15E30">
      <w:pPr>
        <w:pStyle w:val="Standard"/>
        <w:jc w:val="both"/>
        <w:rPr>
          <w:rFonts w:eastAsia="Times New Roman" w:cs="Times New Roman"/>
          <w:color w:val="auto"/>
          <w:lang w:val="ru-RU" w:bidi="ar-SA"/>
        </w:rPr>
      </w:pPr>
      <w:r w:rsidRPr="005C5429">
        <w:rPr>
          <w:rFonts w:eastAsia="Times New Roman" w:cs="Times New Roman"/>
          <w:color w:val="auto"/>
          <w:lang w:val="ru-RU" w:bidi="ar-SA"/>
        </w:rPr>
        <w:t>муниципальным имуществом г. Великие Луки</w:t>
      </w:r>
      <w:r w:rsidRPr="005C5429">
        <w:rPr>
          <w:rFonts w:eastAsia="Times New Roman" w:cs="Times New Roman"/>
          <w:color w:val="auto"/>
          <w:lang w:val="ru-RU" w:bidi="ar-SA"/>
        </w:rPr>
        <w:tab/>
      </w:r>
      <w:r w:rsidRPr="005C5429">
        <w:rPr>
          <w:rFonts w:eastAsia="Times New Roman" w:cs="Times New Roman"/>
          <w:color w:val="auto"/>
          <w:lang w:val="ru-RU" w:bidi="ar-SA"/>
        </w:rPr>
        <w:tab/>
        <w:t xml:space="preserve">   </w:t>
      </w:r>
      <w:r>
        <w:rPr>
          <w:rFonts w:eastAsia="Times New Roman" w:cs="Times New Roman"/>
          <w:color w:val="auto"/>
          <w:lang w:val="ru-RU" w:bidi="ar-SA"/>
        </w:rPr>
        <w:t xml:space="preserve">                                   Н.В. </w:t>
      </w:r>
      <w:proofErr w:type="spellStart"/>
      <w:r>
        <w:rPr>
          <w:rFonts w:eastAsia="Times New Roman" w:cs="Times New Roman"/>
          <w:color w:val="auto"/>
          <w:lang w:val="ru-RU" w:bidi="ar-SA"/>
        </w:rPr>
        <w:t>Долинченкова</w:t>
      </w:r>
      <w:proofErr w:type="spellEnd"/>
      <w:r w:rsidRPr="005C5429">
        <w:rPr>
          <w:rFonts w:eastAsia="Times New Roman" w:cs="Times New Roman"/>
          <w:color w:val="auto"/>
          <w:lang w:val="ru-RU" w:bidi="ar-SA"/>
        </w:rPr>
        <w:t xml:space="preserve"> </w:t>
      </w: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B15E30" w:rsidRPr="005C5429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</w:t>
      </w: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ачальник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юридического </w:t>
      </w: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отдела </w:t>
      </w:r>
    </w:p>
    <w:p w:rsidR="00B15E30" w:rsidRPr="005C5429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</w:t>
      </w: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омитета по управлению муниципальным </w:t>
      </w: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имуществом г. Великие Луки              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Е.В. Соловьева</w:t>
      </w: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B15E30" w:rsidRPr="005C5429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</w:t>
      </w: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ачальник отдела земельных отношений </w:t>
      </w:r>
    </w:p>
    <w:p w:rsidR="00B15E30" w:rsidRPr="005C5429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</w:t>
      </w: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омитета по управлению муниципальным </w:t>
      </w:r>
    </w:p>
    <w:p w:rsidR="00B15E30" w:rsidRDefault="00B15E30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C542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имуществом г. Великие Луки              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Н.Ю. Игнатьева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4C08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19DD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A522A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246C-D4FA-47A2-AE60-EA32FB1B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72</cp:revision>
  <cp:lastPrinted>2024-09-18T14:36:00Z</cp:lastPrinted>
  <dcterms:created xsi:type="dcterms:W3CDTF">2022-03-30T07:45:00Z</dcterms:created>
  <dcterms:modified xsi:type="dcterms:W3CDTF">2024-09-18T14:51:00Z</dcterms:modified>
</cp:coreProperties>
</file>