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D45A2E" w:rsidRPr="00102D77" w:rsidRDefault="00D45A2E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D45A2E" w:rsidRPr="00102D77" w:rsidRDefault="00D45A2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DE389E" w:rsidP="00DE389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1250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 w:rsidR="0076536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одна тысяча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двести пятьдесят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765368" w:rsidP="00DE389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60:25:003</w:t>
            </w:r>
            <w:r w:rsidR="00DE38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1301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:1</w:t>
            </w:r>
            <w:r w:rsidR="00DE38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55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2231C" w:rsidP="00DE389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765368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DE389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мерно в 65 метрах в юго-восточном направлении от дома №9 по пер. Пушкина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765368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склад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E66998" w:rsidRDefault="00072129" w:rsidP="00E6699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1170D2">
        <w:rPr>
          <w:rFonts w:ascii="Times New Roman" w:hAnsi="Times New Roman" w:cs="Times New Roman"/>
          <w:sz w:val="24"/>
          <w:szCs w:val="24"/>
        </w:rPr>
        <w:t xml:space="preserve">. </w:t>
      </w:r>
      <w:r w:rsidR="00765368" w:rsidRPr="00765368">
        <w:rPr>
          <w:rFonts w:ascii="Times New Roman" w:eastAsia="Calibri" w:hAnsi="Times New Roman" w:cs="Times New Roman"/>
          <w:sz w:val="24"/>
          <w:szCs w:val="24"/>
        </w:rPr>
        <w:t>На земельном участке имеются сети водопровода Д=400мм, которые находятся в хозяйственном ведении МП «Водоканал» г. Великие Луки. Земельный участок в границах1-2-3-4-1 по 0,5 в обе стороны от трубопровода водопровода обременяется правом МП «Водоканал» г. Великие Луки свободного доступа для эксплуатации и обслуживания трубопровода. На обременяемом участке запрещается строительство зданий и сооружений, ограждений, складирование материалов, проведение земляных работ, посадка насаждений. Соблюдать требования, установленные СП 42.13330.2016 Свода правил Градостроительство. Планировка и застройка городских и сельских поселений актуализированная редакция СНиП 2.07.01-89*, относительно водопроводных сетей.</w:t>
      </w:r>
    </w:p>
    <w:p w:rsidR="00765368" w:rsidRDefault="00DE389E" w:rsidP="00DE38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5368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Pr="00DE389E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60:25-6.2131 от 23.05.2022, ограничение использования земельного участка в пределах зоны: Единая зона регулирования застройки и хозяйственной деятельности (ЕЗРЗ): ЕЗРЗ-1 (участок 1, участок 2, участок 3, участок 4), ЕЗРЗ2 (участок 1, участок 2), ЕЗРЗ-3 (участок 1, участок 2, участок 3), ЕЗРЗ-3.1 (участок 1, участок 2), ЕЗРЗ-4 (участок 1, участок 2, участок 3, участок 4, участок 5), ЕЗРЗ-5 (участок 1, участок 2), ЕЗРЗ-6 Общие требования 1. Запрещается: 1)  строительство объектов капитального строительства, нарушающих масштаб сложившейся исторической застройки; 2)  реконструкция и капитальный ремонт объектов капитального </w:t>
      </w:r>
      <w:r w:rsidRPr="00DE389E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в результате которых их высотные параметры могут превысить высотные параметры разрешенного строительства; 3)  использование при строительстве, капитальном ремонте и реконструкции объектов капитального строительства диссонансных силуэтных решений; 4)  использование при строительстве, капитальном ремонте и реконструкции объектов капитального строительства активных ярких цветовых и светоотражающих решений в отделке фасадов и крыш зданий; 5)  применение при строительстве, капитальном ремонте и реконструкции объектов капитального строительства лицевой кладки из силикатного кирпича без последующей штукатурки; 6)  использование в качестве отделки фасадов при строительстве, капитальном ремонте и реконструкции объектов капитального строительства </w:t>
      </w:r>
      <w:proofErr w:type="spellStart"/>
      <w:r w:rsidRPr="00DE389E">
        <w:rPr>
          <w:rFonts w:ascii="Times New Roman" w:hAnsi="Times New Roman" w:cs="Times New Roman"/>
          <w:sz w:val="24"/>
          <w:szCs w:val="24"/>
        </w:rPr>
        <w:t>сайдинга</w:t>
      </w:r>
      <w:proofErr w:type="spellEnd"/>
      <w:r w:rsidRPr="00DE389E">
        <w:rPr>
          <w:rFonts w:ascii="Times New Roman" w:hAnsi="Times New Roman" w:cs="Times New Roman"/>
          <w:sz w:val="24"/>
          <w:szCs w:val="24"/>
        </w:rPr>
        <w:t xml:space="preserve"> и аналогичных ему отделочных материалов, сэндвич–панелей и аналогичных ему отделочных материалов, профилированного металла, пластика; 7)  применение при строительстве, капитальном ремонте и реконструкции объектов капитального строительства нетрадиционных </w:t>
      </w:r>
      <w:proofErr w:type="spellStart"/>
      <w:r w:rsidRPr="00DE389E">
        <w:rPr>
          <w:rFonts w:ascii="Times New Roman" w:hAnsi="Times New Roman" w:cs="Times New Roman"/>
          <w:sz w:val="24"/>
          <w:szCs w:val="24"/>
        </w:rPr>
        <w:t>композиционносилуэтных</w:t>
      </w:r>
      <w:proofErr w:type="spellEnd"/>
      <w:r w:rsidRPr="00DE389E">
        <w:rPr>
          <w:rFonts w:ascii="Times New Roman" w:hAnsi="Times New Roman" w:cs="Times New Roman"/>
          <w:sz w:val="24"/>
          <w:szCs w:val="24"/>
        </w:rPr>
        <w:t xml:space="preserve"> форм (криволинейных, остроугольных и ломаных объемов и пр.); 8)  локальные изменения архитектурного решения лицевых (главных) фасадов при ремонте, капитальном ремонте и реконструкции объектов капитального строительства; 9)  размещение объектов, для которых требуется установление санитарно-защитной зоны, деятельность которых оказывает вредное воздействие на окружающую среду, в том числе: шумовое, вибрационное, создающее магнитные поля, привлекающее большое количество транспортных средств и техники; 10)  размещение телекоммуникационных вышек, антенных мачт и иных инженерных сооружений, превышающих высотные параметры сложившейся исторической застройки; 11)  установка на главных фасадах зданий, формирующих территории общего пользования, кондиционеров, антенн и иного технического оборудования; 12)  размещение рекламных конструкций размерами более 1,5 м х 1.5 м и высотой более 1.8 м; перетяжек и баннеров, перекрывающих визуальное восприятие объектов культурного наследия со стороны улиц, тротуаров, территорий общего пользования. 2. Разрешается: 1)  воссоздание утраченных объектов культурного наследия; 2)  капитальный ремонт, реконструкция и строительство объектов капитального строительства без превышения допустимых высотных параметров и не выходящих за исторически сложившуюся линию застройки главных (фронтальных) фасадов зданий (первых линий кварталов); 3)  устройство двускатных и много скатных крыш с углом наклона от 20 до 35 градусов; 4)  окраска кровель в бордовый, темно - коричневый, вишневый, темно - зеленый, серый цвета; 5)  ремонт и реконструкция существующей дорожно-уличной сети; 6)  установка объектов уличного освещения; 7)  прокладка, инженерных коммуникаций подземным способом, реконструкция и капитальный ремонт подземных инженерных коммуникаций с последующей рекультивацией территории; 8)  устройство открытых и подземных автомобильных парковок; 9)  устройство подъемных площадок для мало мобильных групп населения; 10)  установка малых архитектурных форм, размещение информационных и специальных указателей; 11)  благоустройство территорий; 12)  организация архитектурной подсветки зданий, строений, сооружений, элементов благоустройства и озеленения; 13)  размещение нестационарных торговых объектов на </w:t>
      </w:r>
      <w:proofErr w:type="spellStart"/>
      <w:r w:rsidRPr="00DE389E">
        <w:rPr>
          <w:rFonts w:ascii="Times New Roman" w:hAnsi="Times New Roman" w:cs="Times New Roman"/>
          <w:sz w:val="24"/>
          <w:szCs w:val="24"/>
        </w:rPr>
        <w:t>специальноотведенной</w:t>
      </w:r>
      <w:proofErr w:type="spellEnd"/>
      <w:r w:rsidRPr="00DE389E">
        <w:rPr>
          <w:rFonts w:ascii="Times New Roman" w:hAnsi="Times New Roman" w:cs="Times New Roman"/>
          <w:sz w:val="24"/>
          <w:szCs w:val="24"/>
        </w:rPr>
        <w:t xml:space="preserve"> территории; 14)  размещение временных элементов (сооружений) праздничного (событийного) характера на время проведения праздничных мероприятий; 15)  установка произведений </w:t>
      </w:r>
      <w:proofErr w:type="spellStart"/>
      <w:r w:rsidRPr="00DE389E">
        <w:rPr>
          <w:rFonts w:ascii="Times New Roman" w:hAnsi="Times New Roman" w:cs="Times New Roman"/>
          <w:sz w:val="24"/>
          <w:szCs w:val="24"/>
        </w:rPr>
        <w:t>монументальнодекоративного</w:t>
      </w:r>
      <w:proofErr w:type="spellEnd"/>
      <w:r w:rsidRPr="00DE389E">
        <w:rPr>
          <w:rFonts w:ascii="Times New Roman" w:hAnsi="Times New Roman" w:cs="Times New Roman"/>
          <w:sz w:val="24"/>
          <w:szCs w:val="24"/>
        </w:rPr>
        <w:t xml:space="preserve"> искусства, связанных с историей города, традициями и культурой края, посвященных выдающимся деятелям; 16)  проведение работ по озеленению: сохранение существующих деревьев и кустарников, за исключением санитарных рубок; посадка новых; разбивка газонов и цветников; 17)  проведение мероприятий пожарной безопасности. Дополнительные требования к градостроительным регламентам единой зоны регулирования застройки и хозяйственной деятельности Зона регулирования застройки хозяйственной деятельности ЕЗРЗ-1 (участок 1, участок 2, участок 3, участок 4) Предельные параметры разрешенного строительства, реконструкции объектов капитального строительства - пять (5) этажей. Максимальная отметка от существующего уровня земли до конькового завершения при двух и </w:t>
      </w:r>
      <w:proofErr w:type="spellStart"/>
      <w:r w:rsidRPr="00DE389E">
        <w:rPr>
          <w:rFonts w:ascii="Times New Roman" w:hAnsi="Times New Roman" w:cs="Times New Roman"/>
          <w:sz w:val="24"/>
          <w:szCs w:val="24"/>
        </w:rPr>
        <w:t>многоскатной</w:t>
      </w:r>
      <w:proofErr w:type="spellEnd"/>
      <w:r w:rsidRPr="00DE389E">
        <w:rPr>
          <w:rFonts w:ascii="Times New Roman" w:hAnsi="Times New Roman" w:cs="Times New Roman"/>
          <w:sz w:val="24"/>
          <w:szCs w:val="24"/>
        </w:rPr>
        <w:t xml:space="preserve"> крыше - 20,0 м. Максимальная отметка от существующего </w:t>
      </w:r>
      <w:r w:rsidRPr="00DE389E">
        <w:rPr>
          <w:rFonts w:ascii="Times New Roman" w:hAnsi="Times New Roman" w:cs="Times New Roman"/>
          <w:sz w:val="24"/>
          <w:szCs w:val="24"/>
        </w:rPr>
        <w:lastRenderedPageBreak/>
        <w:t>уровня земли до верхней отметки парапета плоской крыши - 17,0 м. Дымоходы, вентиляционные каналы, антенны, молниеотводы и другое инженерное оборудование, устанавливаемое на крыше, при расчете высоты не учитываются. , вид/наименование: Единая зона регулирования застройки и хозяйственной деятельности (ЕЗРЗ-1), тип: Зона охраны объекта культурного наследия, дата решения: 28.04.2022, номер решения: 208, наименование ОГВ/ОМСУ: Псковское областное собрание депутатов.</w:t>
      </w:r>
      <w:bookmarkStart w:id="0" w:name="_GoBack"/>
      <w:bookmarkEnd w:id="0"/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76536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76536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76536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76536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76536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7C70F2" w:rsidRPr="00102D77" w:rsidRDefault="005841F6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D45A2E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</w:t>
      </w: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158B6" w:rsidRDefault="00E66998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</w:t>
      </w:r>
      <w:r w:rsidR="00DE389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случае расположения земельного участка в границах охранной зоны, установленной в отношении линейного объекта,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EF39C5" w:rsidRPr="00102D77" w:rsidRDefault="00EF39C5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4C25A1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EF39C5" w:rsidRPr="00102D77" w:rsidRDefault="00EF39C5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несмотря на почтовое извещение, Арендатор не явился за получением уведомления, 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4C25A1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EF39C5" w:rsidRPr="00102D77" w:rsidRDefault="00EF39C5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6EE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429D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389E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0A50-4FDF-44AF-851A-F7BF6FD0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62</cp:revision>
  <cp:lastPrinted>2024-09-05T06:09:00Z</cp:lastPrinted>
  <dcterms:created xsi:type="dcterms:W3CDTF">2022-03-30T07:45:00Z</dcterms:created>
  <dcterms:modified xsi:type="dcterms:W3CDTF">2024-09-05T06:16:00Z</dcterms:modified>
</cp:coreProperties>
</file>