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</w:t>
      </w:r>
      <w:bookmarkStart w:id="0" w:name="_GoBack"/>
      <w:bookmarkEnd w:id="0"/>
      <w:r w:rsidRPr="00683C4D">
        <w:rPr>
          <w:b/>
          <w:sz w:val="28"/>
          <w:szCs w:val="28"/>
        </w:rPr>
        <w:t xml:space="preserve">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6D0A19">
        <w:rPr>
          <w:rFonts w:cs="Arial CYR"/>
        </w:rPr>
        <w:t>0</w:t>
      </w:r>
      <w:r w:rsidR="006E314B">
        <w:rPr>
          <w:rFonts w:cs="Arial CYR"/>
        </w:rPr>
        <w:t>4</w:t>
      </w:r>
      <w:r w:rsidR="006D0A19">
        <w:rPr>
          <w:rFonts w:cs="Arial CYR"/>
        </w:rPr>
        <w:t>.0</w:t>
      </w:r>
      <w:r w:rsidR="006E314B">
        <w:rPr>
          <w:rFonts w:cs="Arial CYR"/>
        </w:rPr>
        <w:t>9</w:t>
      </w:r>
      <w:r w:rsidR="00E3103A">
        <w:rPr>
          <w:rFonts w:cs="Arial CYR"/>
        </w:rPr>
        <w:t>.202</w:t>
      </w:r>
      <w:r w:rsidR="006E314B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6E314B">
        <w:rPr>
          <w:rFonts w:cs="Arial CYR"/>
        </w:rPr>
        <w:t>23</w:t>
      </w:r>
      <w:r w:rsidR="00AC1213">
        <w:rPr>
          <w:rFonts w:cs="Arial CYR"/>
        </w:rPr>
        <w:t>29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6E314B">
        <w:rPr>
          <w:rFonts w:cs="Arial CYR"/>
        </w:rPr>
        <w:t xml:space="preserve">, </w:t>
      </w:r>
      <w:r w:rsidR="006E314B" w:rsidRPr="00275D25">
        <w:rPr>
          <w:rFonts w:cs="Arial CYR"/>
          <w:color w:val="000000"/>
        </w:rPr>
        <w:t xml:space="preserve">Постановление Администрации города Великие Луки Псковской области от </w:t>
      </w:r>
      <w:r w:rsidR="006E314B">
        <w:rPr>
          <w:rFonts w:cs="Arial CYR"/>
        </w:rPr>
        <w:t>04.09.2024 № 233</w:t>
      </w:r>
      <w:r w:rsidR="00AC1213">
        <w:rPr>
          <w:rFonts w:cs="Arial CYR"/>
        </w:rPr>
        <w:t>1</w:t>
      </w:r>
      <w:r w:rsidR="006E314B" w:rsidRPr="00275D25">
        <w:rPr>
          <w:rFonts w:cs="Arial CYR"/>
          <w:color w:val="FF0000"/>
        </w:rPr>
        <w:t xml:space="preserve"> </w:t>
      </w:r>
      <w:r w:rsidR="006E314B" w:rsidRPr="00275D25">
        <w:rPr>
          <w:rFonts w:cs="Arial CYR"/>
        </w:rPr>
        <w:t>«О проведении открытого аукциона на право заключения договор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 xml:space="preserve"> аренды земельн</w:t>
      </w:r>
      <w:r w:rsidR="006E314B">
        <w:rPr>
          <w:rFonts w:cs="Arial CYR"/>
        </w:rPr>
        <w:t>ых</w:t>
      </w:r>
      <w:r w:rsidR="006E314B" w:rsidRPr="00275D25">
        <w:rPr>
          <w:rFonts w:cs="Arial CYR"/>
        </w:rPr>
        <w:t xml:space="preserve"> участк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>»</w:t>
      </w:r>
      <w:r w:rsidR="00AC1213">
        <w:rPr>
          <w:rFonts w:cs="Arial CYR"/>
        </w:rPr>
        <w:t xml:space="preserve">, </w:t>
      </w:r>
      <w:r w:rsidR="00AC1213" w:rsidRPr="00275D25">
        <w:rPr>
          <w:rFonts w:cs="Arial CYR"/>
          <w:color w:val="000000"/>
        </w:rPr>
        <w:t xml:space="preserve">Постановление Администрации города Великие Луки Псковской области от </w:t>
      </w:r>
      <w:r w:rsidR="00AC1213">
        <w:rPr>
          <w:rFonts w:cs="Arial CYR"/>
        </w:rPr>
        <w:t>04.09.2024 № 2333</w:t>
      </w:r>
      <w:r w:rsidR="00AC1213" w:rsidRPr="00275D25">
        <w:rPr>
          <w:rFonts w:cs="Arial CYR"/>
          <w:color w:val="FF0000"/>
        </w:rPr>
        <w:t xml:space="preserve"> </w:t>
      </w:r>
      <w:r w:rsidR="00AC1213" w:rsidRPr="00275D25">
        <w:rPr>
          <w:rFonts w:cs="Arial CYR"/>
        </w:rPr>
        <w:t>«О проведении открытого аукциона на право заключения договор</w:t>
      </w:r>
      <w:r w:rsidR="00AC1213">
        <w:rPr>
          <w:rFonts w:cs="Arial CYR"/>
        </w:rPr>
        <w:t>ов</w:t>
      </w:r>
      <w:r w:rsidR="00AC1213" w:rsidRPr="00275D25">
        <w:rPr>
          <w:rFonts w:cs="Arial CYR"/>
        </w:rPr>
        <w:t xml:space="preserve"> аренды земельн</w:t>
      </w:r>
      <w:r w:rsidR="00AC1213">
        <w:rPr>
          <w:rFonts w:cs="Arial CYR"/>
        </w:rPr>
        <w:t>ых</w:t>
      </w:r>
      <w:r w:rsidR="00AC1213" w:rsidRPr="00275D25">
        <w:rPr>
          <w:rFonts w:cs="Arial CYR"/>
        </w:rPr>
        <w:t xml:space="preserve"> участк</w:t>
      </w:r>
      <w:r w:rsidR="00AC1213">
        <w:rPr>
          <w:rFonts w:cs="Arial CYR"/>
        </w:rPr>
        <w:t>ов</w:t>
      </w:r>
      <w:r w:rsidR="00AC1213" w:rsidRPr="00275D25">
        <w:rPr>
          <w:rFonts w:cs="Arial CYR"/>
        </w:rPr>
        <w:t>»</w:t>
      </w:r>
      <w:r w:rsidR="00AC1213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5D57DB">
        <w:rPr>
          <w:rFonts w:cs="Arial CYR"/>
          <w:b/>
          <w:u w:val="single"/>
        </w:rPr>
        <w:t>2</w:t>
      </w:r>
      <w:r w:rsidR="00461F2F">
        <w:rPr>
          <w:rFonts w:cs="Arial CYR"/>
          <w:b/>
          <w:u w:val="single"/>
        </w:rPr>
        <w:t>4</w:t>
      </w:r>
      <w:r w:rsidR="006E314B">
        <w:rPr>
          <w:rFonts w:cs="Arial CYR"/>
          <w:b/>
          <w:u w:val="single"/>
        </w:rPr>
        <w:t xml:space="preserve"> декабря</w:t>
      </w:r>
      <w:r w:rsidR="007C609E" w:rsidRPr="002671F5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6E314B">
        <w:rPr>
          <w:rFonts w:cs="Arial CYR"/>
          <w:b/>
          <w:u w:val="single"/>
        </w:rPr>
        <w:t>4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</w:t>
      </w:r>
      <w:r w:rsidRPr="003D4B20">
        <w:rPr>
          <w:color w:val="000000"/>
        </w:rPr>
        <w:lastRenderedPageBreak/>
        <w:t>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  <w:r w:rsidR="003D4B20">
        <w:rPr>
          <w:rFonts w:cs="Arial CYR"/>
          <w:color w:val="FF0000"/>
        </w:rPr>
        <w:tab/>
      </w:r>
    </w:p>
    <w:p w:rsidR="009D1D51" w:rsidRPr="003D4B20" w:rsidRDefault="009D1D51" w:rsidP="00F651CF">
      <w:pPr>
        <w:ind w:firstLine="567"/>
        <w:jc w:val="both"/>
        <w:rPr>
          <w:rFonts w:cs="Arial CYR"/>
          <w:color w:val="FF0000"/>
        </w:rPr>
      </w:pPr>
    </w:p>
    <w:p w:rsidR="001844FF" w:rsidRPr="004112FB" w:rsidRDefault="007C609E" w:rsidP="004112FB">
      <w:pPr>
        <w:ind w:firstLine="567"/>
      </w:pPr>
      <w:r w:rsidRPr="004112FB">
        <w:rPr>
          <w:b/>
        </w:rPr>
        <w:lastRenderedPageBreak/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 xml:space="preserve">ок аренды земельного участка: </w:t>
      </w:r>
      <w:r w:rsidR="00A8780B">
        <w:rPr>
          <w:u w:val="single"/>
        </w:rPr>
        <w:t>20 лет</w:t>
      </w:r>
      <w:r w:rsidRPr="00F93CC5">
        <w:t>.</w:t>
      </w:r>
    </w:p>
    <w:p w:rsidR="007C609E" w:rsidRPr="00811CCD" w:rsidRDefault="007C609E" w:rsidP="007C609E">
      <w:pPr>
        <w:jc w:val="both"/>
        <w:rPr>
          <w:b/>
          <w:u w:val="single"/>
        </w:rPr>
      </w:pPr>
      <w:r w:rsidRPr="00811CCD">
        <w:rPr>
          <w:b/>
          <w:u w:val="single"/>
        </w:rPr>
        <w:t>Лот 1.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93628A">
        <w:rPr>
          <w:b/>
        </w:rPr>
        <w:t>60:25:00</w:t>
      </w:r>
      <w:r w:rsidR="006E314B">
        <w:rPr>
          <w:b/>
        </w:rPr>
        <w:t>1010</w:t>
      </w:r>
      <w:r w:rsidR="005D57DB">
        <w:rPr>
          <w:b/>
        </w:rPr>
        <w:t>1</w:t>
      </w:r>
      <w:r w:rsidR="004059D0" w:rsidRPr="005C1E01">
        <w:rPr>
          <w:b/>
        </w:rPr>
        <w:t>:</w:t>
      </w:r>
      <w:r w:rsidR="005D57DB">
        <w:rPr>
          <w:b/>
        </w:rPr>
        <w:t>15</w:t>
      </w:r>
      <w:r w:rsidR="00461F2F">
        <w:rPr>
          <w:b/>
        </w:rPr>
        <w:t>1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6E314B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0A9B">
        <w:t xml:space="preserve">для </w:t>
      </w:r>
      <w:r w:rsidR="00BF78FC">
        <w:t>индивидуального жилищного строительства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BF78FC">
        <w:t xml:space="preserve">примерно в </w:t>
      </w:r>
      <w:r w:rsidR="00461F2F">
        <w:t>29</w:t>
      </w:r>
      <w:r w:rsidR="005D57DB">
        <w:t>0</w:t>
      </w:r>
      <w:r w:rsidR="006E314B">
        <w:t xml:space="preserve"> </w:t>
      </w:r>
      <w:r w:rsidR="00BF78FC">
        <w:t xml:space="preserve">метрах в </w:t>
      </w:r>
      <w:r w:rsidR="005D57DB">
        <w:t>ю</w:t>
      </w:r>
      <w:r w:rsidR="00461F2F">
        <w:t xml:space="preserve">жном </w:t>
      </w:r>
      <w:r w:rsidR="005D57DB">
        <w:t xml:space="preserve">направлении от земельного участка по ул. </w:t>
      </w:r>
      <w:proofErr w:type="gramStart"/>
      <w:r w:rsidR="005D57DB">
        <w:t>Новосокольнической,</w:t>
      </w:r>
      <w:r w:rsidR="00461F2F">
        <w:t>д.</w:t>
      </w:r>
      <w:proofErr w:type="gramEnd"/>
      <w:r w:rsidR="00461F2F">
        <w:t>35</w:t>
      </w:r>
      <w:r w:rsidR="00BF78FC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531C4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E97FBF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BF78FC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1D48C3">
        <w:rPr>
          <w:rFonts w:eastAsia="Lucida Sans Unicode"/>
          <w:kern w:val="3"/>
          <w:lang w:bidi="en-US"/>
        </w:rPr>
        <w:t xml:space="preserve">относится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920A9B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BF78FC">
        <w:rPr>
          <w:rFonts w:eastAsia="Lucida Sans Unicode"/>
          <w:color w:val="000000"/>
          <w:kern w:val="3"/>
          <w:lang w:bidi="en-US"/>
        </w:rPr>
        <w:t>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 w:rsidR="001E7717"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</w:t>
      </w:r>
      <w:r w:rsidR="00180F75">
        <w:rPr>
          <w:rFonts w:eastAsia="Lucida Sans Unicode"/>
          <w:color w:val="000000"/>
          <w:kern w:val="3"/>
          <w:lang w:bidi="en-US"/>
        </w:rPr>
        <w:t xml:space="preserve"> – </w:t>
      </w:r>
      <w:r w:rsidR="00BF78FC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>
        <w:rPr>
          <w:rFonts w:eastAsia="Lucida Sans Unicode"/>
          <w:color w:val="000000"/>
          <w:kern w:val="3"/>
          <w:lang w:bidi="en-US"/>
        </w:rPr>
        <w:t>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BF78FC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0531C4" w:rsidRDefault="00E97FBF" w:rsidP="00E97FBF">
      <w:pPr>
        <w:suppressAutoHyphens/>
        <w:autoSpaceDN w:val="0"/>
        <w:ind w:firstLine="708"/>
        <w:jc w:val="both"/>
        <w:textAlignment w:val="baseline"/>
        <w:rPr>
          <w:rFonts w:eastAsia="Calibri"/>
          <w:u w:val="single"/>
          <w:lang w:eastAsia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30A3" w:rsidRDefault="000531C4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E97FBF">
        <w:rPr>
          <w:rFonts w:eastAsia="Lucida Sans Unicode"/>
          <w:kern w:val="3"/>
          <w:lang w:eastAsia="en-US" w:bidi="en-US"/>
        </w:rPr>
        <w:t>Техническая возможность подключения (</w:t>
      </w:r>
      <w:r w:rsidR="00E97FBF" w:rsidRPr="00B57DB4">
        <w:rPr>
          <w:rFonts w:eastAsia="Lucida Sans Unicode"/>
          <w:kern w:val="3"/>
          <w:lang w:eastAsia="en-US" w:bidi="en-US"/>
        </w:rPr>
        <w:t>технологического присоединения)</w:t>
      </w:r>
      <w:r w:rsidR="00E97FBF">
        <w:rPr>
          <w:rFonts w:eastAsia="Lucida Sans Unicode"/>
          <w:kern w:val="3"/>
          <w:lang w:eastAsia="en-US" w:bidi="en-US"/>
        </w:rPr>
        <w:t xml:space="preserve"> к централизованным городским сетям водоснабжения и водоотведения (находящимся в хозяйственном ведении МП «Водоканал» г. Великие </w:t>
      </w:r>
      <w:proofErr w:type="gramStart"/>
      <w:r w:rsidR="00E97FBF">
        <w:rPr>
          <w:rFonts w:eastAsia="Lucida Sans Unicode"/>
          <w:kern w:val="3"/>
          <w:lang w:eastAsia="en-US" w:bidi="en-US"/>
        </w:rPr>
        <w:t>Луки)-</w:t>
      </w:r>
      <w:proofErr w:type="gramEnd"/>
      <w:r w:rsidR="00E97FBF">
        <w:rPr>
          <w:rFonts w:eastAsia="Lucida Sans Unicode"/>
          <w:kern w:val="3"/>
          <w:lang w:eastAsia="en-US" w:bidi="en-US"/>
        </w:rPr>
        <w:t>отсутствует.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 xml:space="preserve">низкого давления, проложенного по ул. </w:t>
      </w:r>
      <w:proofErr w:type="spellStart"/>
      <w:r w:rsidR="00E97FBF">
        <w:rPr>
          <w:rFonts w:eastAsia="Lucida Sans Unicode"/>
          <w:kern w:val="3"/>
          <w:lang w:eastAsia="en-US" w:bidi="en-US"/>
        </w:rPr>
        <w:t>Сигорицкой</w:t>
      </w:r>
      <w:proofErr w:type="spellEnd"/>
      <w:r w:rsidR="00E97FBF">
        <w:rPr>
          <w:rFonts w:eastAsia="Lucida Sans Unicode"/>
          <w:kern w:val="3"/>
          <w:lang w:eastAsia="en-US" w:bidi="en-US"/>
        </w:rPr>
        <w:t xml:space="preserve"> в 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E97FBF">
        <w:rPr>
          <w:rFonts w:eastAsia="Lucida Sans Unicode"/>
          <w:kern w:val="3"/>
          <w:lang w:eastAsia="en-US" w:bidi="en-US"/>
        </w:rPr>
        <w:t>частное лицо</w:t>
      </w:r>
      <w:r>
        <w:rPr>
          <w:rFonts w:eastAsia="Lucida Sans Unicode"/>
          <w:kern w:val="3"/>
          <w:lang w:eastAsia="en-US" w:bidi="en-US"/>
        </w:rPr>
        <w:t>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A7D80" w:rsidRDefault="005D57DB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="000530A3"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="001E7717" w:rsidRPr="008D5DB0">
        <w:rPr>
          <w:rFonts w:eastAsia="Lucida Sans Unicode"/>
          <w:kern w:val="3"/>
          <w:lang w:eastAsia="en-US" w:bidi="en-US"/>
        </w:rPr>
        <w:t xml:space="preserve">. </w:t>
      </w:r>
      <w:r w:rsidR="00E97FBF"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="00E97FBF" w:rsidRPr="00811CCD">
        <w:rPr>
          <w:rFonts w:eastAsia="Lucida Sans Unicode"/>
          <w:kern w:val="3"/>
          <w:lang w:eastAsia="en-US" w:bidi="en-US"/>
        </w:rPr>
        <w:t>отсутствует.</w:t>
      </w:r>
      <w:r w:rsidR="00811CCD">
        <w:rPr>
          <w:rFonts w:eastAsia="Lucida Sans Unicode"/>
          <w:kern w:val="3"/>
          <w:lang w:eastAsia="en-US" w:bidi="en-US"/>
        </w:rPr>
        <w:t xml:space="preserve">                                    М</w:t>
      </w:r>
      <w:r w:rsidR="00A66764">
        <w:rPr>
          <w:rFonts w:eastAsia="Lucida Sans Unicode"/>
          <w:kern w:val="3"/>
          <w:lang w:eastAsia="en-US" w:bidi="en-US"/>
        </w:rPr>
        <w:t>аксимальная нагрузка в возможн</w:t>
      </w:r>
      <w:r>
        <w:rPr>
          <w:rFonts w:eastAsia="Lucida Sans Unicode"/>
          <w:kern w:val="3"/>
          <w:lang w:eastAsia="en-US" w:bidi="en-US"/>
        </w:rPr>
        <w:t>ой</w:t>
      </w:r>
      <w:r w:rsidR="00A66764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>точке</w:t>
      </w:r>
      <w:r w:rsidR="00A66764">
        <w:rPr>
          <w:rFonts w:eastAsia="Lucida Sans Unicode"/>
          <w:kern w:val="3"/>
          <w:lang w:eastAsia="en-US" w:bidi="en-US"/>
        </w:rPr>
        <w:t xml:space="preserve"> подключения</w:t>
      </w:r>
      <w:r w:rsidR="00811CCD">
        <w:rPr>
          <w:rFonts w:eastAsia="Lucida Sans Unicode"/>
          <w:kern w:val="3"/>
          <w:lang w:eastAsia="en-US" w:bidi="en-US"/>
        </w:rPr>
        <w:t xml:space="preserve"> на 13.05.2024</w:t>
      </w:r>
      <w:r w:rsidR="00A66764">
        <w:rPr>
          <w:rFonts w:eastAsia="Lucida Sans Unicode"/>
          <w:kern w:val="3"/>
          <w:lang w:eastAsia="en-US" w:bidi="en-US"/>
        </w:rPr>
        <w:t xml:space="preserve"> – 0,</w:t>
      </w:r>
      <w:r w:rsidR="00E97FBF">
        <w:rPr>
          <w:rFonts w:eastAsia="Lucida Sans Unicode"/>
          <w:kern w:val="3"/>
          <w:lang w:eastAsia="en-US" w:bidi="en-US"/>
        </w:rPr>
        <w:t>00</w:t>
      </w:r>
      <w:r w:rsidR="00A66764">
        <w:rPr>
          <w:rFonts w:eastAsia="Lucida Sans Unicode"/>
          <w:kern w:val="3"/>
          <w:lang w:eastAsia="en-US" w:bidi="en-US"/>
        </w:rPr>
        <w:t xml:space="preserve"> Гкал/ч.</w:t>
      </w:r>
    </w:p>
    <w:p w:rsidR="009D1D51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FD623E" w:rsidRDefault="00EC7BCD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</w:t>
      </w:r>
      <w:r w:rsidR="001E7717" w:rsidRPr="001E7717">
        <w:rPr>
          <w:rFonts w:eastAsia="Calibri"/>
          <w:lang w:eastAsia="en-US"/>
        </w:rPr>
        <w:lastRenderedPageBreak/>
        <w:t>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="00FD623E" w:rsidRPr="00FD623E">
        <w:rPr>
          <w:rFonts w:eastAsia="Calibri"/>
          <w:lang w:eastAsia="en-US"/>
        </w:rPr>
        <w:t xml:space="preserve"> 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811CCD">
        <w:rPr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811CCD">
        <w:rPr>
          <w:bCs/>
          <w:iCs/>
        </w:rPr>
        <w:t>тридцать</w:t>
      </w:r>
      <w:r w:rsidR="007F5AEE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811CCD">
        <w:t>0</w:t>
      </w:r>
      <w:r w:rsidRPr="004112FB">
        <w:t>0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811CCD">
        <w:t>900</w:t>
      </w:r>
      <w:r w:rsidR="001E7717" w:rsidRPr="004112FB">
        <w:t xml:space="preserve"> (</w:t>
      </w:r>
      <w:r w:rsidR="00811CCD">
        <w:t>девятьсот</w:t>
      </w:r>
      <w:r w:rsidR="001E7717" w:rsidRPr="004112FB">
        <w:t xml:space="preserve">) руб. </w:t>
      </w:r>
      <w:r w:rsidR="00811CCD">
        <w:t>00</w:t>
      </w:r>
      <w:r w:rsidR="001E7717" w:rsidRPr="004112FB">
        <w:t xml:space="preserve"> коп.</w:t>
      </w:r>
    </w:p>
    <w:p w:rsidR="009D1D51" w:rsidRDefault="003A2916" w:rsidP="001E7717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="001F336D" w:rsidRPr="001F336D">
        <w:rPr>
          <w:b/>
          <w:i/>
          <w:u w:val="single"/>
        </w:rPr>
        <w:t>Размер задатка:</w:t>
      </w:r>
      <w:r w:rsidR="001F336D" w:rsidRPr="001F336D">
        <w:t xml:space="preserve"> </w:t>
      </w:r>
      <w:r w:rsidR="007F5AEE">
        <w:t>1</w:t>
      </w:r>
      <w:r w:rsidR="00811CCD">
        <w:t>5</w:t>
      </w:r>
      <w:r w:rsidR="007F5AEE">
        <w:t xml:space="preserve"> 000</w:t>
      </w:r>
      <w:r w:rsidR="001F336D" w:rsidRPr="001F336D">
        <w:t xml:space="preserve"> (</w:t>
      </w:r>
      <w:r w:rsidR="00811CCD">
        <w:t>пятнадцать</w:t>
      </w:r>
      <w:r w:rsidR="007F5AEE">
        <w:t xml:space="preserve"> тысяч</w:t>
      </w:r>
      <w:r w:rsidR="001F336D" w:rsidRPr="001F336D">
        <w:t>) руб. 00 коп.</w:t>
      </w:r>
    </w:p>
    <w:p w:rsidR="009D1D51" w:rsidRDefault="009D1D51" w:rsidP="001E7717">
      <w:pPr>
        <w:suppressAutoHyphens/>
        <w:autoSpaceDN w:val="0"/>
        <w:ind w:firstLine="708"/>
        <w:jc w:val="both"/>
        <w:textAlignment w:val="baseline"/>
      </w:pPr>
    </w:p>
    <w:p w:rsidR="001F336D" w:rsidRPr="004112FB" w:rsidRDefault="001F336D" w:rsidP="00F92258">
      <w:r w:rsidRPr="004112FB">
        <w:rPr>
          <w:b/>
        </w:rPr>
        <w:t>4.</w:t>
      </w:r>
      <w:r>
        <w:rPr>
          <w:b/>
        </w:rPr>
        <w:t>2.</w:t>
      </w:r>
      <w:r w:rsidRPr="004112FB">
        <w:t xml:space="preserve"> </w:t>
      </w:r>
      <w:r w:rsidRPr="00D3383F">
        <w:rPr>
          <w:b/>
          <w:i/>
          <w:u w:val="single"/>
        </w:rPr>
        <w:t>Предмет аукциона</w:t>
      </w:r>
      <w:r w:rsidRPr="00D3383F">
        <w:rPr>
          <w:b/>
          <w:i/>
        </w:rPr>
        <w:t>:</w:t>
      </w:r>
    </w:p>
    <w:p w:rsidR="001F336D" w:rsidRDefault="001F336D" w:rsidP="001F336D">
      <w:pPr>
        <w:jc w:val="both"/>
      </w:pPr>
      <w:r w:rsidRPr="0035587F">
        <w:t>Право заключения договора аренды земельного участка.</w:t>
      </w:r>
    </w:p>
    <w:p w:rsidR="00F93CC5" w:rsidRPr="0035587F" w:rsidRDefault="00F93CC5" w:rsidP="001F336D">
      <w:pPr>
        <w:jc w:val="both"/>
      </w:pPr>
      <w:r w:rsidRPr="00F93CC5">
        <w:t>Ср</w:t>
      </w:r>
      <w:r>
        <w:t xml:space="preserve">ок аренды земельного участка: </w:t>
      </w:r>
      <w:r w:rsidR="007F5AEE">
        <w:rPr>
          <w:u w:val="single"/>
        </w:rPr>
        <w:t>20</w:t>
      </w:r>
      <w:r w:rsidR="003A3151">
        <w:rPr>
          <w:u w:val="single"/>
        </w:rPr>
        <w:t xml:space="preserve"> (</w:t>
      </w:r>
      <w:r w:rsidR="007F5AEE">
        <w:rPr>
          <w:u w:val="single"/>
        </w:rPr>
        <w:t>двадцать</w:t>
      </w:r>
      <w:r w:rsidR="003A3151">
        <w:rPr>
          <w:u w:val="single"/>
        </w:rPr>
        <w:t>) лет</w:t>
      </w:r>
      <w:r w:rsidRPr="00F93CC5">
        <w:rPr>
          <w:u w:val="single"/>
        </w:rPr>
        <w:t xml:space="preserve"> </w:t>
      </w:r>
    </w:p>
    <w:p w:rsidR="001F336D" w:rsidRPr="00811CCD" w:rsidRDefault="001F336D" w:rsidP="001F336D">
      <w:pPr>
        <w:jc w:val="both"/>
        <w:rPr>
          <w:b/>
          <w:u w:val="single"/>
        </w:rPr>
      </w:pPr>
      <w:r w:rsidRPr="00811CCD">
        <w:rPr>
          <w:b/>
          <w:u w:val="single"/>
        </w:rPr>
        <w:t>Лот 2. Земельный участок.</w:t>
      </w:r>
    </w:p>
    <w:p w:rsidR="001F336D" w:rsidRPr="0035587F" w:rsidRDefault="001F336D" w:rsidP="001F336D">
      <w:pPr>
        <w:jc w:val="both"/>
      </w:pPr>
      <w:r w:rsidRPr="0035587F">
        <w:t>Категория земель: земли населенных пунктов</w:t>
      </w:r>
    </w:p>
    <w:p w:rsidR="001F336D" w:rsidRPr="0035587F" w:rsidRDefault="001F336D" w:rsidP="001F336D">
      <w:pPr>
        <w:jc w:val="both"/>
      </w:pPr>
      <w:r w:rsidRPr="0035587F">
        <w:t>Када</w:t>
      </w:r>
      <w:r w:rsidR="007F5AEE">
        <w:t xml:space="preserve">стровый номер: </w:t>
      </w:r>
      <w:r w:rsidR="007F5AEE" w:rsidRPr="005C1E01">
        <w:rPr>
          <w:b/>
        </w:rPr>
        <w:t>60:25:00</w:t>
      </w:r>
      <w:r w:rsidR="00CF4F27">
        <w:rPr>
          <w:b/>
        </w:rPr>
        <w:t>1010</w:t>
      </w:r>
      <w:r w:rsidR="005D57DB">
        <w:rPr>
          <w:b/>
        </w:rPr>
        <w:t>1</w:t>
      </w:r>
      <w:r w:rsidRPr="005C1E01">
        <w:rPr>
          <w:b/>
        </w:rPr>
        <w:t>:</w:t>
      </w:r>
      <w:r w:rsidR="005D57DB">
        <w:rPr>
          <w:b/>
        </w:rPr>
        <w:t>15</w:t>
      </w:r>
      <w:r w:rsidR="00461F2F">
        <w:rPr>
          <w:b/>
        </w:rPr>
        <w:t>3</w:t>
      </w:r>
      <w:r w:rsidRPr="005C1E01">
        <w:rPr>
          <w:b/>
        </w:rPr>
        <w:t>.</w:t>
      </w:r>
    </w:p>
    <w:p w:rsidR="001F336D" w:rsidRPr="0035587F" w:rsidRDefault="007F5AEE" w:rsidP="001F336D">
      <w:pPr>
        <w:jc w:val="both"/>
      </w:pPr>
      <w:r>
        <w:t xml:space="preserve">Площадь: </w:t>
      </w:r>
      <w:r w:rsidR="005D57DB">
        <w:t>600</w:t>
      </w:r>
      <w:r w:rsidR="001F336D" w:rsidRPr="0035587F">
        <w:t xml:space="preserve"> кв.м.</w:t>
      </w:r>
    </w:p>
    <w:p w:rsidR="001F336D" w:rsidRPr="0035587F" w:rsidRDefault="001F336D" w:rsidP="001F336D">
      <w:pPr>
        <w:jc w:val="both"/>
      </w:pPr>
      <w:r w:rsidRPr="0035587F">
        <w:t xml:space="preserve">Вид разрешенного использования: </w:t>
      </w:r>
      <w:r>
        <w:t xml:space="preserve">для </w:t>
      </w:r>
      <w:r w:rsidR="007F5AEE">
        <w:t>индивидуального жилищного строительства</w:t>
      </w:r>
      <w:r>
        <w:t>.</w:t>
      </w:r>
    </w:p>
    <w:p w:rsidR="001F336D" w:rsidRPr="0035587F" w:rsidRDefault="001F336D" w:rsidP="001F336D">
      <w:pPr>
        <w:jc w:val="both"/>
      </w:pPr>
      <w:r w:rsidRPr="0035587F">
        <w:t xml:space="preserve">Местоположение: Псковская область, г. Великие Луки, </w:t>
      </w:r>
      <w:r w:rsidR="00CF4F27">
        <w:t xml:space="preserve">примерно в </w:t>
      </w:r>
      <w:r w:rsidR="00461F2F">
        <w:t>250</w:t>
      </w:r>
      <w:r w:rsidR="000338A7">
        <w:t xml:space="preserve"> метрах в </w:t>
      </w:r>
      <w:r w:rsidR="005D57DB">
        <w:t>ю</w:t>
      </w:r>
      <w:r w:rsidR="00461F2F">
        <w:t>жном</w:t>
      </w:r>
      <w:r w:rsidR="005D57DB">
        <w:t xml:space="preserve"> направлении от </w:t>
      </w:r>
      <w:r w:rsidR="00461F2F">
        <w:t xml:space="preserve">жилого дома </w:t>
      </w:r>
      <w:r w:rsidR="005D57DB">
        <w:t xml:space="preserve">по ул. </w:t>
      </w:r>
      <w:proofErr w:type="spellStart"/>
      <w:r w:rsidR="005D57DB">
        <w:t>Новосокольнической</w:t>
      </w:r>
      <w:proofErr w:type="spellEnd"/>
      <w:r w:rsidR="00461F2F">
        <w:t>,</w:t>
      </w:r>
      <w:r w:rsidR="00F92258">
        <w:t xml:space="preserve"> </w:t>
      </w:r>
      <w:r w:rsidR="00461F2F">
        <w:t>д.35.</w:t>
      </w:r>
    </w:p>
    <w:p w:rsidR="001F336D" w:rsidRDefault="001F336D" w:rsidP="001F336D">
      <w:pPr>
        <w:jc w:val="both"/>
      </w:pPr>
      <w:r w:rsidRPr="0035587F">
        <w:t>Границы земельного участка: установлены в соответствии с действующим законодательством.</w:t>
      </w:r>
    </w:p>
    <w:p w:rsidR="001F336D" w:rsidRPr="0035587F" w:rsidRDefault="001F336D" w:rsidP="001F336D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1F336D" w:rsidRPr="00AE26EE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338A7">
        <w:rPr>
          <w:rFonts w:eastAsia="Lucida Sans Unicode"/>
          <w:color w:val="000000"/>
          <w:kern w:val="3"/>
          <w:lang w:bidi="en-US"/>
        </w:rPr>
        <w:t>Ж/</w:t>
      </w:r>
      <w:r w:rsidR="00CF4F27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>
        <w:rPr>
          <w:rFonts w:eastAsia="Lucida Sans Unicode"/>
          <w:kern w:val="3"/>
          <w:lang w:bidi="en-US"/>
        </w:rPr>
        <w:t>«</w:t>
      </w:r>
      <w:r w:rsidR="000338A7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>
        <w:rPr>
          <w:rFonts w:eastAsia="Lucida Sans Unicode"/>
          <w:kern w:val="3"/>
          <w:lang w:bidi="en-US"/>
        </w:rPr>
        <w:t>относится к основному</w:t>
      </w:r>
      <w:r w:rsidRPr="00AE26EE">
        <w:rPr>
          <w:rFonts w:eastAsia="Lucida Sans Unicode"/>
          <w:kern w:val="3"/>
          <w:lang w:val="x-none" w:bidi="en-US"/>
        </w:rPr>
        <w:t xml:space="preserve"> вид</w:t>
      </w:r>
      <w:r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Pr="00AE26EE">
        <w:rPr>
          <w:rFonts w:eastAsia="Lucida Sans Unicode"/>
          <w:kern w:val="3"/>
          <w:lang w:bidi="en-US"/>
        </w:rPr>
        <w:t xml:space="preserve">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0338A7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>
        <w:rPr>
          <w:rFonts w:eastAsia="Lucida Sans Unicode"/>
          <w:color w:val="000000"/>
          <w:kern w:val="3"/>
          <w:lang w:bidi="en-US"/>
        </w:rPr>
        <w:t xml:space="preserve">5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0338A7">
        <w:rPr>
          <w:rFonts w:eastAsia="Lucida Sans Unicode"/>
          <w:color w:val="000000"/>
          <w:kern w:val="3"/>
          <w:lang w:bidi="en-US"/>
        </w:rPr>
        <w:t>льный коэффициент застройки – 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>
        <w:rPr>
          <w:rFonts w:eastAsia="Lucida Sans Unicode"/>
          <w:color w:val="000000"/>
          <w:kern w:val="3"/>
          <w:lang w:bidi="en-US"/>
        </w:rPr>
        <w:t>максимальная вы</w:t>
      </w:r>
      <w:r w:rsidR="000338A7">
        <w:rPr>
          <w:rFonts w:eastAsia="Lucida Sans Unicode"/>
          <w:color w:val="000000"/>
          <w:kern w:val="3"/>
          <w:lang w:bidi="en-US"/>
        </w:rPr>
        <w:t>сота здания до конька крыши – 20</w:t>
      </w:r>
      <w:r>
        <w:rPr>
          <w:rFonts w:eastAsia="Lucida Sans Unicode"/>
          <w:color w:val="000000"/>
          <w:kern w:val="3"/>
          <w:lang w:bidi="en-US"/>
        </w:rPr>
        <w:t xml:space="preserve"> 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0338A7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1F336D" w:rsidRPr="000531C4" w:rsidRDefault="001F336D" w:rsidP="001F336D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F4F27" w:rsidRDefault="00CF4F27" w:rsidP="00CF4F27">
      <w:pPr>
        <w:suppressAutoHyphens/>
        <w:autoSpaceDN w:val="0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   </w:t>
      </w:r>
      <w:r w:rsidR="000338A7" w:rsidRPr="000338A7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 1.  Техническая возможность подключения (</w:t>
      </w:r>
      <w:r w:rsidRPr="00B57DB4">
        <w:rPr>
          <w:rFonts w:eastAsia="Lucida Sans Unicode"/>
          <w:kern w:val="3"/>
          <w:lang w:eastAsia="en-US" w:bidi="en-US"/>
        </w:rPr>
        <w:t>технологического присоединения)</w:t>
      </w:r>
      <w:r>
        <w:rPr>
          <w:rFonts w:eastAsia="Lucida Sans Unicode"/>
          <w:kern w:val="3"/>
          <w:lang w:eastAsia="en-US" w:bidi="en-US"/>
        </w:rPr>
        <w:t xml:space="preserve"> к централизованным городским сетям водоснабжения и водоотведения (находящимся в хозяйственном ведении МП «Водоканал» г. Великие </w:t>
      </w:r>
      <w:proofErr w:type="gramStart"/>
      <w:r>
        <w:rPr>
          <w:rFonts w:eastAsia="Lucida Sans Unicode"/>
          <w:kern w:val="3"/>
          <w:lang w:eastAsia="en-US" w:bidi="en-US"/>
        </w:rPr>
        <w:t>Луки)-</w:t>
      </w:r>
      <w:proofErr w:type="gramEnd"/>
      <w:r>
        <w:rPr>
          <w:rFonts w:eastAsia="Lucida Sans Unicode"/>
          <w:kern w:val="3"/>
          <w:lang w:eastAsia="en-US" w:bidi="en-US"/>
        </w:rPr>
        <w:t>отсутствует.</w:t>
      </w:r>
    </w:p>
    <w:p w:rsidR="00CF4F27" w:rsidRDefault="00CF4F27" w:rsidP="00CF4F2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 xml:space="preserve">низкого давления, проложенного по ул. </w:t>
      </w:r>
      <w:proofErr w:type="spellStart"/>
      <w:r>
        <w:rPr>
          <w:rFonts w:eastAsia="Lucida Sans Unicode"/>
          <w:kern w:val="3"/>
          <w:lang w:eastAsia="en-US" w:bidi="en-US"/>
        </w:rPr>
        <w:t>Сигорицкой</w:t>
      </w:r>
      <w:proofErr w:type="spellEnd"/>
      <w:r>
        <w:rPr>
          <w:rFonts w:eastAsia="Lucida Sans Unicode"/>
          <w:kern w:val="3"/>
          <w:lang w:eastAsia="en-US" w:bidi="en-US"/>
        </w:rPr>
        <w:t xml:space="preserve"> в г. Великие Луки. Владелец газопровода – частное лицо.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CF4F27" w:rsidRDefault="00CF4F27" w:rsidP="00CF4F2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 xml:space="preserve"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</w:t>
      </w:r>
      <w:r w:rsidRPr="00B57DB4">
        <w:rPr>
          <w:rFonts w:eastAsia="Lucida Sans Unicode"/>
          <w:kern w:val="3"/>
          <w:lang w:eastAsia="en-US" w:bidi="en-US"/>
        </w:rPr>
        <w:lastRenderedPageBreak/>
        <w:t>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CF4F27" w:rsidRDefault="00CF4F27" w:rsidP="00CF4F2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13.05.2024 – 0,00 Гкал/ч.</w:t>
      </w:r>
    </w:p>
    <w:p w:rsidR="00CF4F27" w:rsidRDefault="00CF4F27" w:rsidP="00CF4F2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F336D" w:rsidRDefault="001F336D" w:rsidP="001F336D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F336D" w:rsidRDefault="001F336D" w:rsidP="000065A8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1F336D" w:rsidRDefault="003A2916" w:rsidP="001F336D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4.2.1</w:t>
      </w:r>
      <w:r w:rsidR="001F336D" w:rsidRPr="004112FB">
        <w:rPr>
          <w:b/>
          <w:u w:val="single"/>
        </w:rPr>
        <w:t>.</w:t>
      </w:r>
      <w:r w:rsidR="001F336D">
        <w:rPr>
          <w:u w:val="single"/>
        </w:rPr>
        <w:t xml:space="preserve"> </w:t>
      </w:r>
      <w:r w:rsidR="001F336D" w:rsidRPr="00D3383F">
        <w:rPr>
          <w:b/>
          <w:i/>
          <w:u w:val="single"/>
        </w:rPr>
        <w:t>Начальная цена предмета аукциона</w:t>
      </w:r>
      <w:r w:rsidR="001F336D" w:rsidRPr="004112FB">
        <w:t>:</w:t>
      </w:r>
    </w:p>
    <w:p w:rsidR="005D57DB" w:rsidRDefault="00F92258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4.2</w:t>
      </w:r>
      <w:r w:rsidR="005D57DB">
        <w:rPr>
          <w:b/>
          <w:u w:val="single"/>
        </w:rPr>
        <w:t>.1</w:t>
      </w:r>
      <w:r w:rsidR="005D57DB" w:rsidRPr="004112FB">
        <w:rPr>
          <w:b/>
          <w:u w:val="single"/>
        </w:rPr>
        <w:t>.</w:t>
      </w:r>
      <w:r w:rsidR="005D57DB">
        <w:rPr>
          <w:u w:val="single"/>
        </w:rPr>
        <w:t xml:space="preserve"> </w:t>
      </w:r>
      <w:r w:rsidR="005D57DB" w:rsidRPr="00D3383F">
        <w:rPr>
          <w:b/>
          <w:i/>
          <w:u w:val="single"/>
        </w:rPr>
        <w:t>Начальная цена предмета аукциона</w:t>
      </w:r>
      <w:r w:rsidR="005D57DB" w:rsidRPr="004112FB">
        <w:t>:</w:t>
      </w:r>
    </w:p>
    <w:p w:rsidR="005D57DB" w:rsidRPr="004112FB" w:rsidRDefault="005D57DB" w:rsidP="005D57DB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>
        <w:rPr>
          <w:bCs/>
          <w:iCs/>
        </w:rPr>
        <w:t>30 000</w:t>
      </w:r>
      <w:r w:rsidRPr="00D20784">
        <w:rPr>
          <w:bCs/>
          <w:iCs/>
        </w:rPr>
        <w:t xml:space="preserve"> (</w:t>
      </w:r>
      <w:r>
        <w:rPr>
          <w:bCs/>
          <w:iCs/>
        </w:rPr>
        <w:t>тридцать тысяч</w:t>
      </w:r>
      <w:r w:rsidRPr="00D20784">
        <w:rPr>
          <w:bCs/>
          <w:iCs/>
        </w:rPr>
        <w:t xml:space="preserve">) </w:t>
      </w:r>
      <w:r w:rsidRPr="004112FB">
        <w:t xml:space="preserve">руб. </w:t>
      </w:r>
      <w:r>
        <w:t>0</w:t>
      </w:r>
      <w:r w:rsidRPr="004112FB">
        <w:t>0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</w:t>
      </w:r>
      <w:r w:rsidR="00F92258">
        <w:rPr>
          <w:b/>
          <w:u w:val="single"/>
        </w:rPr>
        <w:t>2</w:t>
      </w:r>
      <w:r>
        <w:rPr>
          <w:b/>
          <w:u w:val="single"/>
        </w:rPr>
        <w:t>.2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Шаг аукциона</w:t>
      </w:r>
      <w:r w:rsidRPr="00D3383F">
        <w:rPr>
          <w:b/>
          <w:i/>
        </w:rPr>
        <w:t>:</w:t>
      </w:r>
      <w:r w:rsidRPr="004112FB">
        <w:t xml:space="preserve"> </w:t>
      </w:r>
      <w:r>
        <w:t>900</w:t>
      </w:r>
      <w:r w:rsidRPr="004112FB">
        <w:t xml:space="preserve"> (</w:t>
      </w:r>
      <w:r>
        <w:t>девятьсот</w:t>
      </w:r>
      <w:r w:rsidRPr="004112FB">
        <w:t xml:space="preserve">) руб. </w:t>
      </w:r>
      <w:r>
        <w:t>00</w:t>
      </w:r>
      <w:r w:rsidRPr="004112FB">
        <w:t xml:space="preserve">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</w:t>
      </w:r>
      <w:r w:rsidR="00F92258">
        <w:rPr>
          <w:b/>
          <w:u w:val="single"/>
        </w:rPr>
        <w:t>2</w:t>
      </w:r>
      <w:r w:rsidRPr="003A2916">
        <w:rPr>
          <w:b/>
          <w:u w:val="single"/>
        </w:rPr>
        <w:t>.3.</w:t>
      </w:r>
      <w:r>
        <w:rPr>
          <w:b/>
          <w:i/>
          <w:u w:val="single"/>
        </w:rPr>
        <w:t xml:space="preserve"> </w:t>
      </w:r>
      <w:r w:rsidRPr="001F336D">
        <w:rPr>
          <w:b/>
          <w:i/>
          <w:u w:val="single"/>
        </w:rPr>
        <w:t>Размер задатка:</w:t>
      </w:r>
      <w:r w:rsidRPr="001F336D">
        <w:t xml:space="preserve"> </w:t>
      </w:r>
      <w:r>
        <w:t>15 000</w:t>
      </w:r>
      <w:r w:rsidRPr="001F336D">
        <w:t xml:space="preserve"> (</w:t>
      </w:r>
      <w:r>
        <w:t>пятнадцать тысяч</w:t>
      </w:r>
      <w:r w:rsidRPr="001F336D">
        <w:t>) руб. 00 коп.</w:t>
      </w:r>
    </w:p>
    <w:p w:rsidR="00F92258" w:rsidRPr="004112FB" w:rsidRDefault="00F92258" w:rsidP="00F92258">
      <w:pPr>
        <w:ind w:firstLine="567"/>
      </w:pPr>
      <w:r w:rsidRPr="004112FB">
        <w:rPr>
          <w:b/>
        </w:rPr>
        <w:t>4.</w:t>
      </w:r>
      <w:r>
        <w:rPr>
          <w:b/>
        </w:rPr>
        <w:t>3.</w:t>
      </w:r>
      <w:r w:rsidRPr="004112FB">
        <w:t xml:space="preserve"> </w:t>
      </w:r>
      <w:r w:rsidRPr="00D3383F">
        <w:rPr>
          <w:b/>
          <w:i/>
          <w:u w:val="single"/>
        </w:rPr>
        <w:t>Предмет аукциона</w:t>
      </w:r>
      <w:r w:rsidRPr="00D3383F">
        <w:rPr>
          <w:b/>
          <w:i/>
        </w:rPr>
        <w:t>:</w:t>
      </w:r>
    </w:p>
    <w:p w:rsidR="00F92258" w:rsidRDefault="00F92258" w:rsidP="00F92258">
      <w:pPr>
        <w:jc w:val="both"/>
      </w:pPr>
      <w:r w:rsidRPr="0035587F">
        <w:t>Право заключения договора аренды земельного участка.</w:t>
      </w:r>
    </w:p>
    <w:p w:rsidR="00F92258" w:rsidRPr="0035587F" w:rsidRDefault="00F92258" w:rsidP="00F92258">
      <w:pPr>
        <w:jc w:val="both"/>
      </w:pPr>
      <w:r w:rsidRPr="00F93CC5">
        <w:t>Ср</w:t>
      </w:r>
      <w:r>
        <w:t xml:space="preserve">ок аренды земельного участка: </w:t>
      </w:r>
      <w:r>
        <w:rPr>
          <w:u w:val="single"/>
        </w:rPr>
        <w:t>20 (двадцать) лет</w:t>
      </w:r>
      <w:r w:rsidRPr="00F93CC5">
        <w:rPr>
          <w:u w:val="single"/>
        </w:rPr>
        <w:t xml:space="preserve"> </w:t>
      </w:r>
    </w:p>
    <w:p w:rsidR="00F92258" w:rsidRPr="00811CCD" w:rsidRDefault="00F92258" w:rsidP="00F92258">
      <w:pPr>
        <w:jc w:val="both"/>
        <w:rPr>
          <w:b/>
          <w:u w:val="single"/>
        </w:rPr>
      </w:pPr>
      <w:r w:rsidRPr="00811CCD">
        <w:rPr>
          <w:b/>
          <w:u w:val="single"/>
        </w:rPr>
        <w:t xml:space="preserve">Лот </w:t>
      </w:r>
      <w:r>
        <w:rPr>
          <w:b/>
          <w:u w:val="single"/>
        </w:rPr>
        <w:t>3</w:t>
      </w:r>
      <w:r w:rsidRPr="00811CCD">
        <w:rPr>
          <w:b/>
          <w:u w:val="single"/>
        </w:rPr>
        <w:t>. Земельный участок.</w:t>
      </w:r>
    </w:p>
    <w:p w:rsidR="00F92258" w:rsidRPr="0035587F" w:rsidRDefault="00F92258" w:rsidP="00F92258">
      <w:pPr>
        <w:jc w:val="both"/>
      </w:pPr>
      <w:r w:rsidRPr="0035587F">
        <w:t>Категория земель: земли населенных пунктов</w:t>
      </w:r>
    </w:p>
    <w:p w:rsidR="00F92258" w:rsidRPr="0035587F" w:rsidRDefault="00F92258" w:rsidP="00F92258">
      <w:pPr>
        <w:jc w:val="both"/>
      </w:pPr>
      <w:r w:rsidRPr="0035587F">
        <w:t>Када</w:t>
      </w:r>
      <w:r>
        <w:t xml:space="preserve">стровый номер: </w:t>
      </w:r>
      <w:r w:rsidRPr="005C1E01">
        <w:rPr>
          <w:b/>
        </w:rPr>
        <w:t>60:25:00</w:t>
      </w:r>
      <w:r>
        <w:rPr>
          <w:b/>
        </w:rPr>
        <w:t>10101</w:t>
      </w:r>
      <w:r w:rsidRPr="005C1E01">
        <w:rPr>
          <w:b/>
        </w:rPr>
        <w:t>:</w:t>
      </w:r>
      <w:r>
        <w:rPr>
          <w:b/>
        </w:rPr>
        <w:t>154</w:t>
      </w:r>
      <w:r w:rsidRPr="005C1E01">
        <w:rPr>
          <w:b/>
        </w:rPr>
        <w:t>.</w:t>
      </w:r>
    </w:p>
    <w:p w:rsidR="00F92258" w:rsidRPr="0035587F" w:rsidRDefault="00F92258" w:rsidP="00F92258">
      <w:pPr>
        <w:jc w:val="both"/>
      </w:pPr>
      <w:r>
        <w:t>Площадь: 600</w:t>
      </w:r>
      <w:r w:rsidRPr="0035587F">
        <w:t xml:space="preserve"> кв.м.</w:t>
      </w:r>
    </w:p>
    <w:p w:rsidR="00F92258" w:rsidRPr="0035587F" w:rsidRDefault="00F92258" w:rsidP="00F92258">
      <w:pPr>
        <w:jc w:val="both"/>
      </w:pPr>
      <w:r w:rsidRPr="0035587F">
        <w:t xml:space="preserve">Вид разрешенного использования: </w:t>
      </w:r>
      <w:r>
        <w:t>для индивидуального жилищного строительства.</w:t>
      </w:r>
    </w:p>
    <w:p w:rsidR="00F92258" w:rsidRPr="0035587F" w:rsidRDefault="00F92258" w:rsidP="00F92258">
      <w:pPr>
        <w:jc w:val="both"/>
      </w:pPr>
      <w:r w:rsidRPr="0035587F">
        <w:t xml:space="preserve">Местоположение: Псковская область, г. Великие Луки, </w:t>
      </w:r>
      <w:r>
        <w:t xml:space="preserve">примерно в 270 метрах в южном направлении от жилого дома по ул. </w:t>
      </w:r>
      <w:proofErr w:type="gramStart"/>
      <w:r>
        <w:t>Новосокольнической,д.</w:t>
      </w:r>
      <w:proofErr w:type="gramEnd"/>
      <w:r>
        <w:t>35.</w:t>
      </w:r>
    </w:p>
    <w:p w:rsidR="00F92258" w:rsidRDefault="00F92258" w:rsidP="00F92258">
      <w:pPr>
        <w:jc w:val="both"/>
      </w:pPr>
      <w:r w:rsidRPr="0035587F">
        <w:t>Границы земельного участка: установлены в соответствии с действующим законодательством.</w:t>
      </w:r>
    </w:p>
    <w:p w:rsidR="00F92258" w:rsidRPr="0035587F" w:rsidRDefault="00F92258" w:rsidP="00F92258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F92258" w:rsidRPr="00AE26EE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>
        <w:rPr>
          <w:rFonts w:eastAsia="Lucida Sans Unicode"/>
          <w:color w:val="000000"/>
          <w:kern w:val="3"/>
          <w:lang w:bidi="en-US"/>
        </w:rPr>
        <w:t>Ж/06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>
        <w:rPr>
          <w:rFonts w:eastAsia="Lucida Sans Unicode"/>
          <w:kern w:val="3"/>
          <w:lang w:bidi="en-US"/>
        </w:rPr>
        <w:t>«индивидуальное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>
        <w:rPr>
          <w:rFonts w:eastAsia="Lucida Sans Unicode"/>
          <w:kern w:val="3"/>
          <w:lang w:bidi="en-US"/>
        </w:rPr>
        <w:t>относится к основному</w:t>
      </w:r>
      <w:r w:rsidRPr="00AE26EE">
        <w:rPr>
          <w:rFonts w:eastAsia="Lucida Sans Unicode"/>
          <w:kern w:val="3"/>
          <w:lang w:val="x-none" w:bidi="en-US"/>
        </w:rPr>
        <w:t xml:space="preserve"> вид</w:t>
      </w:r>
      <w:r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Pr="00AE26EE">
        <w:rPr>
          <w:rFonts w:eastAsia="Lucida Sans Unicode"/>
          <w:kern w:val="3"/>
          <w:lang w:bidi="en-US"/>
        </w:rPr>
        <w:t xml:space="preserve"> </w:t>
      </w:r>
    </w:p>
    <w:p w:rsidR="00F92258" w:rsidRPr="00BD0736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F92258" w:rsidRPr="00BD0736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F92258" w:rsidRPr="00BD0736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5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30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 – 20 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F92258" w:rsidRPr="00BD0736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lastRenderedPageBreak/>
        <w:t>- максимальное количество надземных этажей – 3;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>
        <w:rPr>
          <w:rFonts w:eastAsia="Lucida Sans Unicode"/>
          <w:color w:val="000000"/>
          <w:kern w:val="3"/>
          <w:lang w:bidi="en-US"/>
        </w:rPr>
        <w:t>3 м.</w:t>
      </w:r>
    </w:p>
    <w:p w:rsidR="00F92258" w:rsidRPr="000531C4" w:rsidRDefault="00F92258" w:rsidP="00F92258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92258" w:rsidRDefault="00F92258" w:rsidP="00F92258">
      <w:pPr>
        <w:suppressAutoHyphens/>
        <w:autoSpaceDN w:val="0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   </w:t>
      </w:r>
      <w:r w:rsidRPr="000338A7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 1.  Техническая возможность подключения (</w:t>
      </w:r>
      <w:r w:rsidRPr="00B57DB4">
        <w:rPr>
          <w:rFonts w:eastAsia="Lucida Sans Unicode"/>
          <w:kern w:val="3"/>
          <w:lang w:eastAsia="en-US" w:bidi="en-US"/>
        </w:rPr>
        <w:t>технологического присоединения)</w:t>
      </w:r>
      <w:r>
        <w:rPr>
          <w:rFonts w:eastAsia="Lucida Sans Unicode"/>
          <w:kern w:val="3"/>
          <w:lang w:eastAsia="en-US" w:bidi="en-US"/>
        </w:rPr>
        <w:t xml:space="preserve"> к централизованным городским сетям водоснабжения и водоотведения (находящимся в хозяйственном ведении МП «Водоканал» г. Великие </w:t>
      </w:r>
      <w:proofErr w:type="gramStart"/>
      <w:r>
        <w:rPr>
          <w:rFonts w:eastAsia="Lucida Sans Unicode"/>
          <w:kern w:val="3"/>
          <w:lang w:eastAsia="en-US" w:bidi="en-US"/>
        </w:rPr>
        <w:t>Луки)-</w:t>
      </w:r>
      <w:proofErr w:type="gramEnd"/>
      <w:r>
        <w:rPr>
          <w:rFonts w:eastAsia="Lucida Sans Unicode"/>
          <w:kern w:val="3"/>
          <w:lang w:eastAsia="en-US" w:bidi="en-US"/>
        </w:rPr>
        <w:t>отсутствует.</w:t>
      </w:r>
    </w:p>
    <w:p w:rsidR="00F92258" w:rsidRDefault="00F92258" w:rsidP="00F92258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 xml:space="preserve">низкого давления, проложенного по ул. </w:t>
      </w:r>
      <w:proofErr w:type="spellStart"/>
      <w:r>
        <w:rPr>
          <w:rFonts w:eastAsia="Lucida Sans Unicode"/>
          <w:kern w:val="3"/>
          <w:lang w:eastAsia="en-US" w:bidi="en-US"/>
        </w:rPr>
        <w:t>Сигорицкой</w:t>
      </w:r>
      <w:proofErr w:type="spellEnd"/>
      <w:r>
        <w:rPr>
          <w:rFonts w:eastAsia="Lucida Sans Unicode"/>
          <w:kern w:val="3"/>
          <w:lang w:eastAsia="en-US" w:bidi="en-US"/>
        </w:rPr>
        <w:t xml:space="preserve"> в г. Великие Луки. Владелец газопровода – частное лицо.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92258" w:rsidRDefault="00F92258" w:rsidP="00F92258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F92258" w:rsidRDefault="00F92258" w:rsidP="00F92258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13.05.2024 – 0,00 Гкал/ч.</w:t>
      </w:r>
    </w:p>
    <w:p w:rsidR="00F92258" w:rsidRDefault="00F92258" w:rsidP="00F92258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F92258" w:rsidRDefault="00F92258" w:rsidP="00F92258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F92258" w:rsidRDefault="00F92258" w:rsidP="00F92258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4.3.1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Начальная цена предмета аукциона</w:t>
      </w:r>
      <w:r w:rsidRPr="004112FB">
        <w:t>: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4.3.1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Начальная цена предмета аукциона</w:t>
      </w:r>
      <w:r w:rsidRPr="004112FB">
        <w:t>:</w:t>
      </w:r>
    </w:p>
    <w:p w:rsidR="00F92258" w:rsidRPr="004112FB" w:rsidRDefault="00F92258" w:rsidP="00F92258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>
        <w:rPr>
          <w:bCs/>
          <w:iCs/>
        </w:rPr>
        <w:t>30 000</w:t>
      </w:r>
      <w:r w:rsidRPr="00D20784">
        <w:rPr>
          <w:bCs/>
          <w:iCs/>
        </w:rPr>
        <w:t xml:space="preserve"> (</w:t>
      </w:r>
      <w:r>
        <w:rPr>
          <w:bCs/>
          <w:iCs/>
        </w:rPr>
        <w:t>тридцать тысяч</w:t>
      </w:r>
      <w:r w:rsidRPr="00D20784">
        <w:rPr>
          <w:bCs/>
          <w:iCs/>
        </w:rPr>
        <w:t xml:space="preserve">) </w:t>
      </w:r>
      <w:r w:rsidRPr="004112FB">
        <w:t xml:space="preserve">руб. </w:t>
      </w:r>
      <w:r>
        <w:t>0</w:t>
      </w:r>
      <w:r w:rsidRPr="004112FB">
        <w:t>0 коп.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4.3.2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Шаг аукциона</w:t>
      </w:r>
      <w:r w:rsidRPr="00D3383F">
        <w:rPr>
          <w:b/>
          <w:i/>
        </w:rPr>
        <w:t>:</w:t>
      </w:r>
      <w:r w:rsidRPr="004112FB">
        <w:t xml:space="preserve"> </w:t>
      </w:r>
      <w:r>
        <w:t>900</w:t>
      </w:r>
      <w:r w:rsidRPr="004112FB">
        <w:t xml:space="preserve"> (</w:t>
      </w:r>
      <w:r>
        <w:t>девятьсот</w:t>
      </w:r>
      <w:r w:rsidRPr="004112FB">
        <w:t xml:space="preserve">) руб. </w:t>
      </w:r>
      <w:r>
        <w:t>00</w:t>
      </w:r>
      <w:r w:rsidRPr="004112FB">
        <w:t xml:space="preserve"> коп.</w:t>
      </w:r>
    </w:p>
    <w:p w:rsidR="00F92258" w:rsidRDefault="00F92258" w:rsidP="00F92258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4.3</w:t>
      </w:r>
      <w:r w:rsidRPr="003A2916">
        <w:rPr>
          <w:b/>
          <w:u w:val="single"/>
        </w:rPr>
        <w:t>.3.</w:t>
      </w:r>
      <w:r>
        <w:rPr>
          <w:b/>
          <w:i/>
          <w:u w:val="single"/>
        </w:rPr>
        <w:t xml:space="preserve"> </w:t>
      </w:r>
      <w:r w:rsidRPr="001F336D">
        <w:rPr>
          <w:b/>
          <w:i/>
          <w:u w:val="single"/>
        </w:rPr>
        <w:t>Размер задатка:</w:t>
      </w:r>
      <w:r w:rsidRPr="001F336D">
        <w:t xml:space="preserve"> </w:t>
      </w:r>
      <w:r>
        <w:t>15 000</w:t>
      </w:r>
      <w:r w:rsidRPr="001F336D">
        <w:t xml:space="preserve"> (</w:t>
      </w:r>
      <w:r>
        <w:t>пятнадцать тысяч</w:t>
      </w:r>
      <w:r w:rsidRPr="001F336D">
        <w:t>) руб. 00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F92258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21</w:t>
      </w:r>
      <w:r w:rsidR="00277E68">
        <w:rPr>
          <w:u w:val="single"/>
        </w:rPr>
        <w:t xml:space="preserve"> ноября</w:t>
      </w:r>
      <w:r w:rsidR="00634703" w:rsidRPr="00BF498D">
        <w:rPr>
          <w:u w:val="single"/>
        </w:rPr>
        <w:t xml:space="preserve"> 202</w:t>
      </w:r>
      <w:r w:rsidR="00277E68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с 11 час. 00 мин. </w:t>
      </w: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окончания приема заявок на участие в аукционе:</w:t>
      </w:r>
    </w:p>
    <w:p w:rsidR="00393CE9" w:rsidRPr="00634703" w:rsidRDefault="00F9225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20</w:t>
      </w:r>
      <w:r w:rsidR="00277E68">
        <w:rPr>
          <w:u w:val="single"/>
        </w:rPr>
        <w:t xml:space="preserve"> декабря</w:t>
      </w:r>
      <w:r w:rsidR="00634703" w:rsidRPr="00BF498D">
        <w:rPr>
          <w:u w:val="single"/>
        </w:rPr>
        <w:t xml:space="preserve"> 202</w:t>
      </w:r>
      <w:r w:rsidR="00277E68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– </w:t>
      </w:r>
    </w:p>
    <w:p w:rsidR="00634703" w:rsidRDefault="003C0D5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F92258">
        <w:rPr>
          <w:u w:val="single"/>
        </w:rPr>
        <w:t>3</w:t>
      </w:r>
      <w:r w:rsidR="00277E68">
        <w:rPr>
          <w:u w:val="single"/>
        </w:rPr>
        <w:t xml:space="preserve"> декабря</w:t>
      </w:r>
      <w:r w:rsidR="00393CE9" w:rsidRPr="00393CE9">
        <w:rPr>
          <w:u w:val="single"/>
        </w:rPr>
        <w:t xml:space="preserve"> 202</w:t>
      </w:r>
      <w:r w:rsidR="00277E68">
        <w:rPr>
          <w:u w:val="single"/>
        </w:rPr>
        <w:t>4</w:t>
      </w:r>
      <w:r w:rsidR="00393CE9" w:rsidRPr="00393CE9">
        <w:rPr>
          <w:u w:val="single"/>
        </w:rPr>
        <w:t xml:space="preserve"> г. </w:t>
      </w:r>
    </w:p>
    <w:p w:rsidR="00F90F89" w:rsidRDefault="003A2916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6</w:t>
      </w:r>
      <w:r w:rsidR="00F90F89" w:rsidRPr="008B79A9">
        <w:rPr>
          <w:b/>
        </w:rPr>
        <w:t>.</w:t>
      </w:r>
      <w:r w:rsidR="008B79A9"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3A2916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60D87" w:rsidRDefault="00F60D87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</w:t>
      </w: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КУМИ г. Великие Луки                                                                             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ОЗО</w:t>
      </w: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                                                                                Н.Ю. Игнатьева</w:t>
      </w: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Начальник юр. отдела </w:t>
      </w:r>
    </w:p>
    <w:p w:rsidR="007E6A74" w:rsidRDefault="007E6A74" w:rsidP="007E6A7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                                                                                   Е.В. Соловьева</w:t>
      </w:r>
    </w:p>
    <w:p w:rsidR="00A902BF" w:rsidRDefault="00A902BF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A902BF" w:rsidSect="00277E6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8436C"/>
    <w:rsid w:val="0010174E"/>
    <w:rsid w:val="00113C69"/>
    <w:rsid w:val="00120370"/>
    <w:rsid w:val="00133C42"/>
    <w:rsid w:val="00134BC2"/>
    <w:rsid w:val="00180F75"/>
    <w:rsid w:val="001844FF"/>
    <w:rsid w:val="001D48C3"/>
    <w:rsid w:val="001E0001"/>
    <w:rsid w:val="001E7717"/>
    <w:rsid w:val="001F0CCF"/>
    <w:rsid w:val="001F336D"/>
    <w:rsid w:val="00201163"/>
    <w:rsid w:val="00216FBE"/>
    <w:rsid w:val="002671F5"/>
    <w:rsid w:val="002725A3"/>
    <w:rsid w:val="00275D25"/>
    <w:rsid w:val="00277E68"/>
    <w:rsid w:val="002963DA"/>
    <w:rsid w:val="002C6803"/>
    <w:rsid w:val="003447AB"/>
    <w:rsid w:val="0035587F"/>
    <w:rsid w:val="00393CE9"/>
    <w:rsid w:val="003A2916"/>
    <w:rsid w:val="003A3151"/>
    <w:rsid w:val="003C033A"/>
    <w:rsid w:val="003C0D55"/>
    <w:rsid w:val="003D27B2"/>
    <w:rsid w:val="003D4B20"/>
    <w:rsid w:val="003F15C7"/>
    <w:rsid w:val="004059D0"/>
    <w:rsid w:val="00407777"/>
    <w:rsid w:val="004112FB"/>
    <w:rsid w:val="004200F7"/>
    <w:rsid w:val="00461F2F"/>
    <w:rsid w:val="00484FEB"/>
    <w:rsid w:val="004B4B65"/>
    <w:rsid w:val="00536361"/>
    <w:rsid w:val="005642E2"/>
    <w:rsid w:val="0056716B"/>
    <w:rsid w:val="00591BD9"/>
    <w:rsid w:val="005A24E6"/>
    <w:rsid w:val="005A390D"/>
    <w:rsid w:val="005C0C9C"/>
    <w:rsid w:val="005C1E01"/>
    <w:rsid w:val="005D57DB"/>
    <w:rsid w:val="00634703"/>
    <w:rsid w:val="00683C4D"/>
    <w:rsid w:val="00686886"/>
    <w:rsid w:val="006C29C5"/>
    <w:rsid w:val="006D0A19"/>
    <w:rsid w:val="006E10B7"/>
    <w:rsid w:val="006E314B"/>
    <w:rsid w:val="00706889"/>
    <w:rsid w:val="00722A52"/>
    <w:rsid w:val="007324F1"/>
    <w:rsid w:val="00764901"/>
    <w:rsid w:val="0078227D"/>
    <w:rsid w:val="0079157C"/>
    <w:rsid w:val="007C609E"/>
    <w:rsid w:val="007D20FC"/>
    <w:rsid w:val="007D79AD"/>
    <w:rsid w:val="007E6A74"/>
    <w:rsid w:val="007F5AEE"/>
    <w:rsid w:val="00811CCD"/>
    <w:rsid w:val="00842329"/>
    <w:rsid w:val="008A0687"/>
    <w:rsid w:val="008B2EB3"/>
    <w:rsid w:val="008B79A9"/>
    <w:rsid w:val="008D5DB0"/>
    <w:rsid w:val="008F1E10"/>
    <w:rsid w:val="008F7820"/>
    <w:rsid w:val="00920A9B"/>
    <w:rsid w:val="0093628A"/>
    <w:rsid w:val="00963C14"/>
    <w:rsid w:val="009740E0"/>
    <w:rsid w:val="00980775"/>
    <w:rsid w:val="009D1D51"/>
    <w:rsid w:val="00A66764"/>
    <w:rsid w:val="00A67104"/>
    <w:rsid w:val="00A8780B"/>
    <w:rsid w:val="00A902BF"/>
    <w:rsid w:val="00A97631"/>
    <w:rsid w:val="00AC1213"/>
    <w:rsid w:val="00AE26EE"/>
    <w:rsid w:val="00AE4E21"/>
    <w:rsid w:val="00B05724"/>
    <w:rsid w:val="00B13F47"/>
    <w:rsid w:val="00B21F2F"/>
    <w:rsid w:val="00B57DB4"/>
    <w:rsid w:val="00B61CD2"/>
    <w:rsid w:val="00BC02CB"/>
    <w:rsid w:val="00BE3C56"/>
    <w:rsid w:val="00BF498D"/>
    <w:rsid w:val="00BF78FC"/>
    <w:rsid w:val="00C06779"/>
    <w:rsid w:val="00C1550E"/>
    <w:rsid w:val="00C162C5"/>
    <w:rsid w:val="00C44A9A"/>
    <w:rsid w:val="00C45485"/>
    <w:rsid w:val="00CA749A"/>
    <w:rsid w:val="00CA7772"/>
    <w:rsid w:val="00CC660B"/>
    <w:rsid w:val="00CF4F27"/>
    <w:rsid w:val="00CF6C6F"/>
    <w:rsid w:val="00D076B0"/>
    <w:rsid w:val="00D11423"/>
    <w:rsid w:val="00D20784"/>
    <w:rsid w:val="00D277EA"/>
    <w:rsid w:val="00D3383F"/>
    <w:rsid w:val="00DC5A81"/>
    <w:rsid w:val="00DE23E1"/>
    <w:rsid w:val="00E01D37"/>
    <w:rsid w:val="00E14B4D"/>
    <w:rsid w:val="00E3103A"/>
    <w:rsid w:val="00E42866"/>
    <w:rsid w:val="00E97FBF"/>
    <w:rsid w:val="00EC7BCD"/>
    <w:rsid w:val="00ED413A"/>
    <w:rsid w:val="00EE28AF"/>
    <w:rsid w:val="00F30B6D"/>
    <w:rsid w:val="00F60D87"/>
    <w:rsid w:val="00F651CF"/>
    <w:rsid w:val="00F70B5C"/>
    <w:rsid w:val="00F90F89"/>
    <w:rsid w:val="00F92258"/>
    <w:rsid w:val="00F92E16"/>
    <w:rsid w:val="00F93CC5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9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55</cp:revision>
  <cp:lastPrinted>2024-11-19T07:12:00Z</cp:lastPrinted>
  <dcterms:created xsi:type="dcterms:W3CDTF">2022-08-24T14:12:00Z</dcterms:created>
  <dcterms:modified xsi:type="dcterms:W3CDTF">2024-11-19T07:14:00Z</dcterms:modified>
</cp:coreProperties>
</file>