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="0017532E">
        <w:rPr>
          <w:b/>
          <w:sz w:val="28"/>
          <w:szCs w:val="28"/>
        </w:rPr>
        <w:t>по продаже земельн</w:t>
      </w:r>
      <w:r w:rsidR="003531B5">
        <w:rPr>
          <w:b/>
          <w:sz w:val="28"/>
          <w:szCs w:val="28"/>
        </w:rPr>
        <w:t>ых</w:t>
      </w:r>
      <w:r w:rsidR="0017532E">
        <w:rPr>
          <w:b/>
          <w:sz w:val="28"/>
          <w:szCs w:val="28"/>
        </w:rPr>
        <w:t xml:space="preserve"> участк</w:t>
      </w:r>
      <w:r w:rsidR="003531B5">
        <w:rPr>
          <w:b/>
          <w:sz w:val="28"/>
          <w:szCs w:val="28"/>
        </w:rPr>
        <w:t>ов</w:t>
      </w:r>
    </w:p>
    <w:p w:rsidR="00975A1A" w:rsidRPr="00275D25" w:rsidRDefault="00975A1A" w:rsidP="004112FB">
      <w:pPr>
        <w:jc w:val="center"/>
      </w:pPr>
    </w:p>
    <w:p w:rsidR="005E3832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5E3832">
        <w:rPr>
          <w:b/>
          <w:bCs/>
          <w:i/>
          <w:u w:val="single"/>
        </w:rPr>
        <w:t>О</w:t>
      </w:r>
      <w:r w:rsidR="001844FF" w:rsidRPr="005E3832">
        <w:rPr>
          <w:b/>
          <w:i/>
          <w:u w:val="single"/>
        </w:rPr>
        <w:t>рганизатор аукциона</w:t>
      </w:r>
      <w:r w:rsidR="001844FF" w:rsidRPr="005E3832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5E3832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360746" w:rsidRPr="005E3832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5E3832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275D25">
        <w:rPr>
          <w:rFonts w:cs="Arial CYR"/>
          <w:color w:val="000000"/>
        </w:rPr>
        <w:t>П</w:t>
      </w:r>
      <w:r w:rsidR="00BE3C56" w:rsidRPr="00275D25">
        <w:rPr>
          <w:rFonts w:cs="Arial CYR"/>
          <w:color w:val="000000"/>
        </w:rPr>
        <w:t>остановлени</w:t>
      </w:r>
      <w:r w:rsidR="007C609E" w:rsidRPr="00275D25">
        <w:rPr>
          <w:rFonts w:cs="Arial CYR"/>
          <w:color w:val="000000"/>
        </w:rPr>
        <w:t>е</w:t>
      </w:r>
      <w:r w:rsidR="00BE3C56" w:rsidRPr="00275D25">
        <w:rPr>
          <w:rFonts w:cs="Arial CYR"/>
          <w:color w:val="000000"/>
        </w:rPr>
        <w:t xml:space="preserve"> Администрации города Великие Луки Псковской области от </w:t>
      </w:r>
      <w:r w:rsidR="00D037FE">
        <w:rPr>
          <w:rFonts w:cs="Arial CYR"/>
          <w:color w:val="000000"/>
        </w:rPr>
        <w:t>31</w:t>
      </w:r>
      <w:r w:rsidR="00CC0993">
        <w:rPr>
          <w:rFonts w:cs="Arial CYR"/>
        </w:rPr>
        <w:t>.0</w:t>
      </w:r>
      <w:r w:rsidR="00D037FE">
        <w:rPr>
          <w:rFonts w:cs="Arial CYR"/>
        </w:rPr>
        <w:t>3</w:t>
      </w:r>
      <w:r w:rsidR="005B1BA8">
        <w:rPr>
          <w:rFonts w:cs="Arial CYR"/>
        </w:rPr>
        <w:t>.202</w:t>
      </w:r>
      <w:r w:rsidR="00D037FE">
        <w:rPr>
          <w:rFonts w:cs="Arial CYR"/>
        </w:rPr>
        <w:t>5</w:t>
      </w:r>
      <w:r w:rsidR="00253C0E">
        <w:rPr>
          <w:rFonts w:cs="Arial CYR"/>
        </w:rPr>
        <w:t xml:space="preserve"> № </w:t>
      </w:r>
      <w:r w:rsidR="00D037FE">
        <w:rPr>
          <w:rFonts w:cs="Arial CYR"/>
        </w:rPr>
        <w:t>94</w:t>
      </w:r>
      <w:r w:rsidR="001A6BFE">
        <w:rPr>
          <w:rFonts w:cs="Arial CYR"/>
        </w:rPr>
        <w:t>5</w:t>
      </w:r>
      <w:r w:rsidR="00BE3C56" w:rsidRPr="00275D25">
        <w:rPr>
          <w:rFonts w:cs="Arial CYR"/>
          <w:color w:val="FF0000"/>
        </w:rPr>
        <w:t xml:space="preserve"> </w:t>
      </w:r>
      <w:r w:rsidR="00BE3C56" w:rsidRPr="00275D25">
        <w:rPr>
          <w:rFonts w:cs="Arial CYR"/>
        </w:rPr>
        <w:t xml:space="preserve">«О проведении открытого аукциона </w:t>
      </w:r>
      <w:r w:rsidR="0017532E">
        <w:rPr>
          <w:rFonts w:cs="Arial CYR"/>
        </w:rPr>
        <w:t xml:space="preserve">по продаже </w:t>
      </w:r>
      <w:r w:rsidR="005B1BA8">
        <w:rPr>
          <w:rFonts w:cs="Arial CYR"/>
        </w:rPr>
        <w:t>земельн</w:t>
      </w:r>
      <w:r w:rsidR="002A5929">
        <w:rPr>
          <w:rFonts w:cs="Arial CYR"/>
        </w:rPr>
        <w:t>ого</w:t>
      </w:r>
      <w:r w:rsidR="00BE3C56" w:rsidRPr="00275D25">
        <w:rPr>
          <w:rFonts w:cs="Arial CYR"/>
        </w:rPr>
        <w:t xml:space="preserve"> участк</w:t>
      </w:r>
      <w:r w:rsidR="002A5929">
        <w:rPr>
          <w:rFonts w:cs="Arial CYR"/>
        </w:rPr>
        <w:t>а</w:t>
      </w:r>
      <w:r w:rsidR="00BE3C56" w:rsidRPr="00275D25">
        <w:rPr>
          <w:rFonts w:cs="Arial CYR"/>
        </w:rPr>
        <w:t>»</w:t>
      </w:r>
      <w:r w:rsidR="003D4B20" w:rsidRPr="00275D25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5E3832">
        <w:rPr>
          <w:rFonts w:cs="Arial CYR"/>
          <w:b/>
          <w:i/>
          <w:u w:val="single"/>
        </w:rPr>
        <w:t xml:space="preserve">Место, дата и время и порядок </w:t>
      </w:r>
      <w:r w:rsidRPr="005E3832">
        <w:rPr>
          <w:rFonts w:cs="Arial CYR"/>
          <w:b/>
          <w:i/>
          <w:u w:val="single"/>
        </w:rPr>
        <w:t>проведения электронного аукциона</w:t>
      </w:r>
      <w:r w:rsidRPr="005E3832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5E3832" w:rsidRPr="00C44A9A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5E3832">
        <w:rPr>
          <w:rFonts w:cs="Arial CYR"/>
        </w:rPr>
        <w:t>»).</w:t>
      </w:r>
    </w:p>
    <w:p w:rsidR="001A71BF" w:rsidRPr="00416587" w:rsidRDefault="00275D25" w:rsidP="005E3832">
      <w:pPr>
        <w:widowControl w:val="0"/>
        <w:tabs>
          <w:tab w:val="left" w:pos="567"/>
          <w:tab w:val="left" w:pos="3600"/>
        </w:tabs>
        <w:jc w:val="center"/>
        <w:rPr>
          <w:rFonts w:cs="Arial CYR"/>
          <w:b/>
          <w:u w:val="single"/>
        </w:rPr>
      </w:pP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416587">
        <w:rPr>
          <w:rFonts w:cs="Arial CYR"/>
          <w:b/>
          <w:u w:val="single"/>
        </w:rPr>
        <w:t xml:space="preserve">состоится </w:t>
      </w:r>
      <w:r w:rsidR="006029D7">
        <w:rPr>
          <w:rFonts w:cs="Arial CYR"/>
          <w:b/>
          <w:u w:val="single"/>
        </w:rPr>
        <w:t>21</w:t>
      </w:r>
      <w:r w:rsidR="00380A23">
        <w:rPr>
          <w:rFonts w:cs="Arial CYR"/>
          <w:b/>
          <w:u w:val="single"/>
        </w:rPr>
        <w:t xml:space="preserve"> </w:t>
      </w:r>
      <w:r w:rsidR="00D037FE">
        <w:rPr>
          <w:rFonts w:cs="Arial CYR"/>
          <w:b/>
          <w:u w:val="single"/>
        </w:rPr>
        <w:t>мая</w:t>
      </w:r>
      <w:r w:rsidR="007C609E" w:rsidRPr="00416587">
        <w:rPr>
          <w:rFonts w:cs="Arial CYR"/>
          <w:b/>
          <w:u w:val="single"/>
        </w:rPr>
        <w:t xml:space="preserve"> </w:t>
      </w:r>
      <w:r w:rsidR="003531B5" w:rsidRPr="00416587">
        <w:rPr>
          <w:rFonts w:cs="Arial CYR"/>
          <w:b/>
          <w:u w:val="single"/>
        </w:rPr>
        <w:t>202</w:t>
      </w:r>
      <w:r w:rsidR="00380A23">
        <w:rPr>
          <w:rFonts w:cs="Arial CYR"/>
          <w:b/>
          <w:u w:val="single"/>
        </w:rPr>
        <w:t>5</w:t>
      </w:r>
      <w:r w:rsidR="003D4B20" w:rsidRPr="00416587">
        <w:rPr>
          <w:rFonts w:cs="Arial CYR"/>
          <w:b/>
          <w:u w:val="single"/>
        </w:rPr>
        <w:t xml:space="preserve"> г.</w:t>
      </w:r>
      <w:r w:rsidR="004112FB" w:rsidRPr="00416587">
        <w:rPr>
          <w:rFonts w:cs="Arial CYR"/>
          <w:b/>
          <w:u w:val="single"/>
        </w:rPr>
        <w:t xml:space="preserve"> в 10 час. 00 мин.</w:t>
      </w:r>
    </w:p>
    <w:p w:rsidR="00A90F5B" w:rsidRDefault="00275D25" w:rsidP="00A90F5B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6587">
        <w:rPr>
          <w:u w:val="single"/>
        </w:rPr>
        <w:t>П</w:t>
      </w:r>
      <w:r w:rsidR="003D4B20" w:rsidRPr="00416587">
        <w:rPr>
          <w:u w:val="single"/>
        </w:rPr>
        <w:t>орядок проведени</w:t>
      </w:r>
      <w:r w:rsidR="001A71BF" w:rsidRPr="00416587">
        <w:rPr>
          <w:u w:val="single"/>
        </w:rPr>
        <w:t xml:space="preserve">я аукциона в </w:t>
      </w:r>
      <w:r w:rsidR="001A71BF">
        <w:rPr>
          <w:u w:val="single"/>
        </w:rPr>
        <w:t>электронной форме</w:t>
      </w:r>
    </w:p>
    <w:p w:rsidR="00417E73" w:rsidRDefault="00A90F5B" w:rsidP="00A5148F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</w:t>
      </w:r>
      <w:r w:rsidR="003C35EC" w:rsidRPr="003C35EC">
        <w:t xml:space="preserve"> универсальн</w:t>
      </w:r>
      <w:r w:rsidR="003C35EC">
        <w:t>ой</w:t>
      </w:r>
      <w:r w:rsidR="003C35EC" w:rsidRPr="003C35EC">
        <w:t xml:space="preserve"> торгов</w:t>
      </w:r>
      <w:r w:rsidR="003C35EC">
        <w:t>ой</w:t>
      </w:r>
      <w:r w:rsidR="003C35EC" w:rsidRPr="003C35EC">
        <w:t xml:space="preserve"> платформ</w:t>
      </w:r>
      <w:r w:rsidR="003C35EC">
        <w:t>ы</w:t>
      </w:r>
      <w:r w:rsidR="003C35EC" w:rsidRPr="003C35EC">
        <w:t xml:space="preserve"> АО «Сбербанк-АСТ»</w:t>
      </w:r>
      <w:r w:rsidRPr="001A71BF">
        <w:t xml:space="preserve"> в соответствии с Земельным кодексом РФ с учетом особенностей, указанных в разделе 23 Регламента ТС.</w:t>
      </w:r>
    </w:p>
    <w:p w:rsidR="001A71BF" w:rsidRDefault="001A71BF" w:rsidP="001A71BF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1A71BF" w:rsidRDefault="001A71BF" w:rsidP="001A71BF">
      <w:pPr>
        <w:ind w:firstLine="567"/>
        <w:jc w:val="both"/>
      </w:pPr>
      <w:r>
        <w:t xml:space="preserve">Торговая сессия не проводится в случаях, если: </w:t>
      </w:r>
    </w:p>
    <w:p w:rsidR="001A71BF" w:rsidRDefault="001A71BF" w:rsidP="001A71BF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1A71BF" w:rsidRDefault="001A71BF" w:rsidP="001A71BF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1A71BF" w:rsidRDefault="001A71BF" w:rsidP="001A71BF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1A71BF" w:rsidRDefault="001A71BF" w:rsidP="001A71BF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1A71BF" w:rsidRDefault="001A71BF" w:rsidP="001A71BF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1A71BF" w:rsidRDefault="001A71BF" w:rsidP="001A71BF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1A71BF" w:rsidRDefault="001A71BF" w:rsidP="001A71BF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1A71BF" w:rsidRDefault="001A71BF" w:rsidP="001A71BF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1A71BF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1A71BF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1A71BF" w:rsidRDefault="001A71BF" w:rsidP="001A71BF">
      <w:pPr>
        <w:ind w:firstLine="567"/>
        <w:jc w:val="both"/>
      </w:pPr>
      <w: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1A71BF" w:rsidRDefault="001A71BF" w:rsidP="001A71BF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1A71BF" w:rsidRDefault="001A71BF" w:rsidP="001A71BF">
      <w:pPr>
        <w:ind w:firstLine="567"/>
        <w:jc w:val="both"/>
      </w:pPr>
      <w:r>
        <w:t xml:space="preserve">- представленное предложение о цене равно нулю; </w:t>
      </w:r>
    </w:p>
    <w:p w:rsidR="001A71BF" w:rsidRDefault="001A71BF" w:rsidP="001A71BF">
      <w:pPr>
        <w:ind w:firstLine="567"/>
        <w:jc w:val="both"/>
      </w:pPr>
      <w:r>
        <w:lastRenderedPageBreak/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1A71BF" w:rsidRDefault="001A71BF" w:rsidP="001A71BF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1A71BF" w:rsidRDefault="001A71BF" w:rsidP="001A71BF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9A5F4B" w:rsidRPr="00417E73" w:rsidRDefault="009A5F4B" w:rsidP="001A71BF">
      <w:pPr>
        <w:ind w:firstLine="567"/>
        <w:jc w:val="both"/>
        <w:rPr>
          <w:color w:val="000000"/>
        </w:rPr>
      </w:pPr>
      <w:r>
        <w:rPr>
          <w:color w:val="000000"/>
        </w:rPr>
        <w:t>Победителем аукциона признается участник, предложивший н</w:t>
      </w:r>
      <w:r w:rsidR="00FB23A8">
        <w:rPr>
          <w:color w:val="000000"/>
        </w:rPr>
        <w:t>а</w:t>
      </w:r>
      <w:r>
        <w:rPr>
          <w:color w:val="000000"/>
        </w:rPr>
        <w:t>иболее высокую цену имущества.</w:t>
      </w:r>
    </w:p>
    <w:p w:rsidR="001A71BF" w:rsidRDefault="001A71BF" w:rsidP="001A71BF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1A71BF" w:rsidRPr="001A71BF" w:rsidRDefault="001A71BF" w:rsidP="001A71BF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1A71BF" w:rsidRDefault="001A71BF" w:rsidP="001A71BF">
      <w:pPr>
        <w:ind w:firstLine="567"/>
        <w:jc w:val="both"/>
      </w:pPr>
      <w:r>
        <w:t xml:space="preserve">Подведение итогов торгов: </w:t>
      </w:r>
    </w:p>
    <w:p w:rsidR="001A71BF" w:rsidRDefault="001A71BF" w:rsidP="001A71BF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1A71BF" w:rsidRPr="003D4B20" w:rsidRDefault="001A71BF" w:rsidP="001A71B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76789E">
        <w:rPr>
          <w:b/>
        </w:rPr>
        <w:t>.1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5E3832">
        <w:rPr>
          <w:b/>
          <w:i/>
          <w:u w:val="single"/>
        </w:rPr>
        <w:t>Предмет аукциона</w:t>
      </w:r>
      <w:r w:rsidR="004112FB" w:rsidRPr="005E3832">
        <w:rPr>
          <w:b/>
          <w:i/>
        </w:rPr>
        <w:t>:</w:t>
      </w:r>
    </w:p>
    <w:p w:rsidR="00C45485" w:rsidRPr="0035587F" w:rsidRDefault="000F3ED5" w:rsidP="001E7717">
      <w:pPr>
        <w:jc w:val="both"/>
      </w:pPr>
      <w:r>
        <w:t>Продажа земельного участка.</w:t>
      </w:r>
    </w:p>
    <w:p w:rsidR="007C609E" w:rsidRPr="0035587F" w:rsidRDefault="002A5929" w:rsidP="007C609E">
      <w:pPr>
        <w:jc w:val="both"/>
      </w:pPr>
      <w:r>
        <w:rPr>
          <w:u w:val="single"/>
        </w:rPr>
        <w:t>Лот</w:t>
      </w:r>
      <w:r w:rsidR="007C609E" w:rsidRPr="005B1BA8">
        <w:rPr>
          <w:u w:val="single"/>
        </w:rPr>
        <w:t>.</w:t>
      </w:r>
      <w:r w:rsidR="007C609E" w:rsidRPr="0035587F">
        <w:t xml:space="preserve"> Земельный участок.</w:t>
      </w:r>
    </w:p>
    <w:p w:rsidR="007C609E" w:rsidRPr="0035587F" w:rsidRDefault="007C609E" w:rsidP="007C609E">
      <w:pPr>
        <w:jc w:val="both"/>
      </w:pPr>
      <w:r w:rsidRPr="0035587F">
        <w:t>Категория земель: земли населенных пунктов</w:t>
      </w:r>
    </w:p>
    <w:p w:rsidR="007C609E" w:rsidRPr="0035587F" w:rsidRDefault="007C609E" w:rsidP="007C609E">
      <w:pPr>
        <w:jc w:val="both"/>
      </w:pPr>
      <w:r w:rsidRPr="0035587F">
        <w:t>Када</w:t>
      </w:r>
      <w:r w:rsidR="00034FAA">
        <w:t>стровый номер: 60:25:00</w:t>
      </w:r>
      <w:r w:rsidR="001A6BFE">
        <w:t>40301</w:t>
      </w:r>
      <w:r w:rsidR="00486E3E">
        <w:t>:</w:t>
      </w:r>
      <w:r w:rsidR="001A6BFE">
        <w:t>810</w:t>
      </w:r>
    </w:p>
    <w:p w:rsidR="007C609E" w:rsidRPr="0035587F" w:rsidRDefault="00C44A9A" w:rsidP="007C609E">
      <w:pPr>
        <w:jc w:val="both"/>
      </w:pPr>
      <w:r w:rsidRPr="0035587F">
        <w:t>Площадь</w:t>
      </w:r>
      <w:r w:rsidR="00380A23">
        <w:t xml:space="preserve">: </w:t>
      </w:r>
      <w:r w:rsidR="00D037FE">
        <w:t>2000</w:t>
      </w:r>
      <w:r w:rsidR="00F30B6D" w:rsidRPr="0035587F">
        <w:t xml:space="preserve"> </w:t>
      </w:r>
      <w:r w:rsidR="009262C0">
        <w:t>кв.м</w:t>
      </w:r>
    </w:p>
    <w:p w:rsidR="007C609E" w:rsidRPr="0035587F" w:rsidRDefault="007C609E" w:rsidP="007C609E">
      <w:pPr>
        <w:jc w:val="both"/>
      </w:pPr>
      <w:r w:rsidRPr="0035587F">
        <w:t xml:space="preserve">Вид разрешенного использования: </w:t>
      </w:r>
      <w:r w:rsidR="009262C0">
        <w:t>с</w:t>
      </w:r>
      <w:r w:rsidR="00D037FE">
        <w:t>тоянка транспортных средств</w:t>
      </w:r>
    </w:p>
    <w:p w:rsidR="007C609E" w:rsidRPr="0035587F" w:rsidRDefault="007C609E" w:rsidP="007C609E">
      <w:pPr>
        <w:jc w:val="both"/>
      </w:pPr>
      <w:r w:rsidRPr="0035587F">
        <w:t xml:space="preserve">Местоположение: Псковская область, г. Великие Луки, </w:t>
      </w:r>
      <w:r w:rsidR="00034FAA">
        <w:t>при</w:t>
      </w:r>
      <w:r w:rsidR="001A6BFE">
        <w:t>мерно в 5 метрах в северном направлении от здания по ул. Дружбы,10А</w:t>
      </w:r>
      <w:r w:rsidR="003624C1">
        <w:t>.</w:t>
      </w:r>
    </w:p>
    <w:p w:rsidR="007C609E" w:rsidRDefault="007324F1" w:rsidP="007C609E">
      <w:pPr>
        <w:jc w:val="both"/>
      </w:pPr>
      <w:r w:rsidRPr="0035587F">
        <w:t>Границы земельного участка: установлены в соответствии с действующим законодательством</w:t>
      </w:r>
    </w:p>
    <w:p w:rsidR="00360746" w:rsidRPr="0035587F" w:rsidRDefault="00360746" w:rsidP="007C609E">
      <w:pPr>
        <w:jc w:val="both"/>
      </w:pPr>
      <w:r>
        <w:t>Сведения о правах: государственная собственность на земельный участок не разграничена.</w:t>
      </w:r>
    </w:p>
    <w:p w:rsidR="00975A1A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val="x-none"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1E7717">
        <w:rPr>
          <w:rFonts w:eastAsia="Lucida Sans Unicode"/>
          <w:color w:val="000000"/>
          <w:kern w:val="3"/>
          <w:lang w:bidi="en-US"/>
        </w:rPr>
        <w:t>производственной</w:t>
      </w:r>
      <w:r>
        <w:rPr>
          <w:rFonts w:eastAsia="Lucida Sans Unicode"/>
          <w:color w:val="000000"/>
          <w:kern w:val="3"/>
          <w:lang w:val="x-none" w:bidi="en-US"/>
        </w:rPr>
        <w:t xml:space="preserve"> зоне </w:t>
      </w:r>
      <w:r w:rsidR="001A6BFE">
        <w:rPr>
          <w:rFonts w:eastAsia="Lucida Sans Unicode"/>
          <w:color w:val="000000"/>
          <w:kern w:val="3"/>
          <w:lang w:bidi="en-US"/>
        </w:rPr>
        <w:t>Д</w:t>
      </w:r>
      <w:r w:rsidR="00180F75">
        <w:rPr>
          <w:rFonts w:eastAsia="Lucida Sans Unicode"/>
          <w:color w:val="000000"/>
          <w:kern w:val="3"/>
          <w:lang w:bidi="en-US"/>
        </w:rPr>
        <w:t>/</w:t>
      </w:r>
      <w:r w:rsidR="001A6BFE">
        <w:rPr>
          <w:rFonts w:eastAsia="Lucida Sans Unicode"/>
          <w:color w:val="000000"/>
          <w:kern w:val="3"/>
          <w:lang w:bidi="en-US"/>
        </w:rPr>
        <w:t>23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В соответствии с градостроительными регламентами </w:t>
      </w:r>
      <w:r w:rsidR="00AC5242">
        <w:rPr>
          <w:rFonts w:eastAsia="Lucida Sans Unicode"/>
          <w:color w:val="000000"/>
          <w:kern w:val="3"/>
          <w:lang w:bidi="en-US"/>
        </w:rPr>
        <w:t xml:space="preserve">вид разрешенного использования </w:t>
      </w:r>
      <w:r w:rsidRPr="00BD0736">
        <w:rPr>
          <w:rFonts w:eastAsia="Lucida Sans Unicode"/>
          <w:color w:val="000000"/>
          <w:kern w:val="3"/>
          <w:lang w:val="x-none" w:bidi="en-US"/>
        </w:rPr>
        <w:t>«</w:t>
      </w:r>
      <w:r w:rsidR="00C8612A">
        <w:rPr>
          <w:rFonts w:eastAsia="Lucida Sans Unicode"/>
          <w:color w:val="000000"/>
          <w:kern w:val="3"/>
          <w:lang w:bidi="en-US"/>
        </w:rPr>
        <w:t>складские площадки</w:t>
      </w:r>
      <w:r w:rsidRPr="00BD0736">
        <w:rPr>
          <w:rFonts w:eastAsia="Lucida Sans Unicode"/>
          <w:color w:val="000000"/>
          <w:kern w:val="3"/>
          <w:lang w:val="x-none" w:bidi="en-US"/>
        </w:rPr>
        <w:t>» относ</w:t>
      </w:r>
      <w:r w:rsidR="00A97631">
        <w:rPr>
          <w:rFonts w:eastAsia="Lucida Sans Unicode"/>
          <w:color w:val="000000"/>
          <w:kern w:val="3"/>
          <w:lang w:bidi="en-US"/>
        </w:rPr>
        <w:t>и</w:t>
      </w:r>
      <w:proofErr w:type="spellStart"/>
      <w:r w:rsidR="005D3344">
        <w:rPr>
          <w:rFonts w:eastAsia="Lucida Sans Unicode"/>
          <w:color w:val="000000"/>
          <w:kern w:val="3"/>
          <w:lang w:val="x-none" w:bidi="en-US"/>
        </w:rPr>
        <w:t>тся</w:t>
      </w:r>
      <w:proofErr w:type="spellEnd"/>
      <w:r w:rsidR="005D3344">
        <w:rPr>
          <w:rFonts w:eastAsia="Lucida Sans Unicode"/>
          <w:color w:val="000000"/>
          <w:kern w:val="3"/>
          <w:lang w:val="x-none"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>к основному виду разрешенного использования в указанной зоне.</w:t>
      </w:r>
    </w:p>
    <w:p w:rsidR="001E7717" w:rsidRDefault="001E7717" w:rsidP="001E7717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u w:val="single"/>
          <w:lang w:eastAsia="en-US" w:bidi="en-US"/>
        </w:rPr>
      </w:pPr>
      <w:r w:rsidRPr="001E7717">
        <w:rPr>
          <w:rFonts w:eastAsia="Lucida Sans Unicode"/>
          <w:color w:val="000000"/>
          <w:kern w:val="3"/>
          <w:u w:val="single"/>
          <w:lang w:eastAsia="en-US" w:bidi="en-US"/>
        </w:rPr>
        <w:t>Обременения и ограничения в использовании земельного участка:</w:t>
      </w:r>
    </w:p>
    <w:p w:rsidR="001E7717" w:rsidRDefault="00EC7BCD" w:rsidP="00EC7BCD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</w:t>
      </w:r>
      <w:r w:rsidR="001E7717" w:rsidRPr="001E7717">
        <w:rPr>
          <w:rFonts w:eastAsia="Calibri"/>
          <w:lang w:eastAsia="en-US"/>
        </w:rPr>
        <w:t xml:space="preserve">. </w:t>
      </w:r>
      <w:r w:rsidR="003531B5" w:rsidRPr="00580F52">
        <w:rPr>
          <w:rFonts w:eastAsia="Calibri"/>
          <w:lang w:eastAsia="en-US"/>
        </w:rPr>
        <w:t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1A6BFE" w:rsidRPr="00580F52" w:rsidRDefault="001A6BFE" w:rsidP="001A6BF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2. Земельный участок полностью расположен в границах зоны с </w:t>
      </w:r>
      <w:proofErr w:type="spellStart"/>
      <w:r>
        <w:rPr>
          <w:rFonts w:eastAsia="Calibri"/>
          <w:lang w:eastAsia="en-US"/>
        </w:rPr>
        <w:t>реестровм</w:t>
      </w:r>
      <w:proofErr w:type="spellEnd"/>
      <w:r>
        <w:rPr>
          <w:rFonts w:eastAsia="Calibri"/>
          <w:lang w:eastAsia="en-US"/>
        </w:rPr>
        <w:t xml:space="preserve"> номером 60:25-6.395-зона подтопления. </w:t>
      </w:r>
      <w:r>
        <w:t>В границах зон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организмами.; Реестровый номер границы: 60:</w:t>
      </w:r>
      <w:r>
        <w:t>25</w:t>
      </w:r>
      <w:r>
        <w:t>-6.</w:t>
      </w:r>
      <w:r>
        <w:t>395</w:t>
      </w:r>
      <w:r>
        <w:t>; Вид объекта реестра границ: Зона с особыми условиями использования территории; Вид зоны по документу: Зона подтопления в отношении территории, прилегающей к зоне затопления однопроцентной обеспеченности, повышение уровня грунтовых вод которой обусловливается подпором грунтовых вод уровнями высоких вод реки Лазавица в границах города Великие Луки; Тип зоны: Иная зона с особыми условиями использования территории; Номер: 1.</w:t>
      </w:r>
    </w:p>
    <w:p w:rsidR="00B3660A" w:rsidRPr="00580F52" w:rsidRDefault="006C5724" w:rsidP="00D037FE">
      <w:pPr>
        <w:spacing w:line="276" w:lineRule="auto"/>
        <w:jc w:val="both"/>
      </w:pPr>
      <w:r w:rsidRPr="00580F52">
        <w:rPr>
          <w:rFonts w:eastAsia="Calibri"/>
        </w:rPr>
        <w:t xml:space="preserve">           </w:t>
      </w:r>
      <w:r w:rsidR="0076789E" w:rsidRPr="00580F52">
        <w:rPr>
          <w:b/>
          <w:u w:val="single"/>
        </w:rPr>
        <w:t>4.1.1</w:t>
      </w:r>
      <w:r w:rsidR="004112FB" w:rsidRPr="00580F52">
        <w:rPr>
          <w:b/>
          <w:u w:val="single"/>
        </w:rPr>
        <w:t>.</w:t>
      </w:r>
      <w:r w:rsidR="004112FB" w:rsidRPr="00580F52">
        <w:rPr>
          <w:u w:val="single"/>
        </w:rPr>
        <w:t xml:space="preserve"> </w:t>
      </w:r>
      <w:r w:rsidR="001E7717" w:rsidRPr="00580F52">
        <w:rPr>
          <w:b/>
          <w:i/>
          <w:u w:val="single"/>
        </w:rPr>
        <w:t>Начальная цена предмета аукциона</w:t>
      </w:r>
      <w:r w:rsidR="001E7717" w:rsidRPr="00580F52">
        <w:rPr>
          <w:b/>
          <w:i/>
        </w:rPr>
        <w:t>:</w:t>
      </w:r>
      <w:r w:rsidR="001E7717" w:rsidRPr="00580F52">
        <w:t xml:space="preserve"> </w:t>
      </w:r>
    </w:p>
    <w:p w:rsidR="00B149D7" w:rsidRDefault="001E7717" w:rsidP="00B3660A">
      <w:pPr>
        <w:suppressAutoHyphens/>
        <w:autoSpaceDN w:val="0"/>
        <w:ind w:firstLine="708"/>
        <w:jc w:val="both"/>
        <w:textAlignment w:val="baseline"/>
        <w:rPr>
          <w:b/>
          <w:u w:val="single"/>
        </w:rPr>
      </w:pPr>
      <w:r w:rsidRPr="00BA6058">
        <w:rPr>
          <w:bCs/>
          <w:iCs/>
        </w:rPr>
        <w:t>начальная цена</w:t>
      </w:r>
      <w:r w:rsidR="002F45DF" w:rsidRPr="00BA6058">
        <w:rPr>
          <w:bCs/>
          <w:iCs/>
        </w:rPr>
        <w:t xml:space="preserve"> </w:t>
      </w:r>
      <w:r w:rsidRPr="00BA6058">
        <w:rPr>
          <w:bCs/>
          <w:iCs/>
        </w:rPr>
        <w:t xml:space="preserve">– </w:t>
      </w:r>
      <w:r w:rsidR="00D037FE" w:rsidRPr="00D037FE">
        <w:rPr>
          <w:b/>
          <w:bCs/>
          <w:iCs/>
        </w:rPr>
        <w:t>900</w:t>
      </w:r>
      <w:r w:rsidR="00380A23" w:rsidRPr="00380A23">
        <w:rPr>
          <w:b/>
          <w:bCs/>
          <w:iCs/>
        </w:rPr>
        <w:t xml:space="preserve"> </w:t>
      </w:r>
      <w:r w:rsidR="00D037FE">
        <w:rPr>
          <w:b/>
          <w:bCs/>
          <w:iCs/>
        </w:rPr>
        <w:t>0</w:t>
      </w:r>
      <w:r w:rsidR="00380A23" w:rsidRPr="00380A23">
        <w:rPr>
          <w:b/>
          <w:bCs/>
          <w:iCs/>
        </w:rPr>
        <w:t>00</w:t>
      </w:r>
      <w:r w:rsidR="00D20784" w:rsidRPr="00BA6058">
        <w:rPr>
          <w:bCs/>
          <w:iCs/>
        </w:rPr>
        <w:t xml:space="preserve"> (</w:t>
      </w:r>
      <w:r w:rsidR="00380A23">
        <w:rPr>
          <w:bCs/>
          <w:iCs/>
        </w:rPr>
        <w:t>д</w:t>
      </w:r>
      <w:r w:rsidR="00D037FE">
        <w:rPr>
          <w:bCs/>
          <w:iCs/>
        </w:rPr>
        <w:t>евятьсот</w:t>
      </w:r>
      <w:r w:rsidR="0083404C">
        <w:rPr>
          <w:bCs/>
          <w:iCs/>
        </w:rPr>
        <w:t xml:space="preserve"> тысяч</w:t>
      </w:r>
      <w:r w:rsidR="00D20784" w:rsidRPr="00BA6058">
        <w:rPr>
          <w:bCs/>
          <w:iCs/>
        </w:rPr>
        <w:t xml:space="preserve">) </w:t>
      </w:r>
      <w:r w:rsidRPr="00BA6058">
        <w:t xml:space="preserve">руб. </w:t>
      </w:r>
      <w:r w:rsidRPr="0076789E">
        <w:rPr>
          <w:b/>
        </w:rPr>
        <w:t>00</w:t>
      </w:r>
      <w:r w:rsidRPr="00BA6058">
        <w:t xml:space="preserve"> коп.</w:t>
      </w:r>
    </w:p>
    <w:p w:rsidR="00733452" w:rsidRDefault="0076789E" w:rsidP="00733452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4.1.2</w:t>
      </w:r>
      <w:r w:rsidR="004112FB" w:rsidRPr="00BA6058">
        <w:rPr>
          <w:b/>
          <w:u w:val="single"/>
        </w:rPr>
        <w:t>.</w:t>
      </w:r>
      <w:r w:rsidR="004112FB" w:rsidRPr="00BA6058">
        <w:rPr>
          <w:u w:val="single"/>
        </w:rPr>
        <w:t xml:space="preserve"> </w:t>
      </w:r>
      <w:r w:rsidR="001E7717" w:rsidRPr="00BA6058">
        <w:rPr>
          <w:b/>
          <w:i/>
          <w:u w:val="single"/>
        </w:rPr>
        <w:t xml:space="preserve">Шаг </w:t>
      </w:r>
      <w:proofErr w:type="gramStart"/>
      <w:r w:rsidR="001E7717" w:rsidRPr="00BA6058">
        <w:rPr>
          <w:b/>
          <w:i/>
          <w:u w:val="single"/>
        </w:rPr>
        <w:t>аукциона</w:t>
      </w:r>
      <w:r w:rsidR="001E7717" w:rsidRPr="00BA6058">
        <w:rPr>
          <w:b/>
          <w:i/>
        </w:rPr>
        <w:t>:</w:t>
      </w:r>
      <w:r w:rsidR="001E7717" w:rsidRPr="00BA6058">
        <w:t xml:space="preserve"> </w:t>
      </w:r>
      <w:r w:rsidR="00733452">
        <w:rPr>
          <w:b/>
        </w:rPr>
        <w:t xml:space="preserve"> </w:t>
      </w:r>
      <w:r w:rsidR="00D037FE">
        <w:rPr>
          <w:b/>
        </w:rPr>
        <w:t>27</w:t>
      </w:r>
      <w:proofErr w:type="gramEnd"/>
      <w:r w:rsidR="00D037FE">
        <w:rPr>
          <w:b/>
        </w:rPr>
        <w:t xml:space="preserve"> 000</w:t>
      </w:r>
      <w:r w:rsidR="00733452" w:rsidRPr="003708A3">
        <w:t xml:space="preserve"> (</w:t>
      </w:r>
      <w:r w:rsidR="00D037FE">
        <w:t>двадцать семь</w:t>
      </w:r>
      <w:r w:rsidR="00380A23">
        <w:t xml:space="preserve"> тысяч</w:t>
      </w:r>
      <w:r w:rsidR="00D037FE">
        <w:t>)</w:t>
      </w:r>
      <w:r w:rsidR="00380A23">
        <w:t xml:space="preserve"> </w:t>
      </w:r>
      <w:r w:rsidR="00733452" w:rsidRPr="003708A3">
        <w:t xml:space="preserve"> руб. </w:t>
      </w:r>
      <w:r w:rsidR="00733452" w:rsidRPr="003708A3">
        <w:rPr>
          <w:b/>
        </w:rPr>
        <w:t>00</w:t>
      </w:r>
      <w:r w:rsidR="00733452" w:rsidRPr="003708A3">
        <w:t xml:space="preserve"> коп.</w:t>
      </w:r>
    </w:p>
    <w:p w:rsidR="00733452" w:rsidRDefault="0076789E" w:rsidP="00B3660A">
      <w:pPr>
        <w:suppressAutoHyphens/>
        <w:autoSpaceDN w:val="0"/>
        <w:ind w:firstLine="708"/>
        <w:jc w:val="both"/>
        <w:textAlignment w:val="baseline"/>
        <w:rPr>
          <w:b/>
          <w:i/>
        </w:rPr>
      </w:pPr>
      <w:r w:rsidRPr="0076789E">
        <w:rPr>
          <w:b/>
          <w:u w:val="single"/>
        </w:rPr>
        <w:t>4.1.3.</w:t>
      </w:r>
      <w:r w:rsidRPr="0076789E">
        <w:rPr>
          <w:b/>
          <w:i/>
          <w:u w:val="single"/>
        </w:rPr>
        <w:t xml:space="preserve"> Размер задатка</w:t>
      </w:r>
      <w:r w:rsidR="005A162F">
        <w:rPr>
          <w:b/>
          <w:i/>
        </w:rPr>
        <w:t>:</w:t>
      </w:r>
      <w:r w:rsidR="00733452" w:rsidRPr="00733452">
        <w:rPr>
          <w:b/>
        </w:rPr>
        <w:t xml:space="preserve"> </w:t>
      </w:r>
      <w:r w:rsidR="00D037FE">
        <w:rPr>
          <w:b/>
        </w:rPr>
        <w:t>450</w:t>
      </w:r>
      <w:r w:rsidR="00380A23">
        <w:rPr>
          <w:b/>
        </w:rPr>
        <w:t xml:space="preserve"> </w:t>
      </w:r>
      <w:r w:rsidR="00D037FE">
        <w:rPr>
          <w:b/>
        </w:rPr>
        <w:t>0</w:t>
      </w:r>
      <w:r w:rsidR="00380A23">
        <w:rPr>
          <w:b/>
        </w:rPr>
        <w:t>00</w:t>
      </w:r>
      <w:r w:rsidR="00733452" w:rsidRPr="003624C1">
        <w:rPr>
          <w:b/>
        </w:rPr>
        <w:t xml:space="preserve"> </w:t>
      </w:r>
      <w:r w:rsidR="00733452" w:rsidRPr="00BA6058">
        <w:t>(</w:t>
      </w:r>
      <w:r w:rsidR="00D037FE">
        <w:t>четыреста пятьдесят</w:t>
      </w:r>
      <w:r w:rsidR="00733452">
        <w:t xml:space="preserve"> тысяч</w:t>
      </w:r>
      <w:r w:rsidR="00733452" w:rsidRPr="00BA6058">
        <w:t xml:space="preserve">) руб. </w:t>
      </w:r>
      <w:r w:rsidR="00733452" w:rsidRPr="0076789E">
        <w:rPr>
          <w:b/>
        </w:rPr>
        <w:t>00</w:t>
      </w:r>
      <w:r w:rsidR="00733452" w:rsidRPr="00BA6058">
        <w:t xml:space="preserve"> коп.</w:t>
      </w:r>
      <w:r w:rsidRPr="0076789E">
        <w:rPr>
          <w:b/>
          <w:i/>
        </w:rPr>
        <w:t xml:space="preserve"> </w:t>
      </w:r>
    </w:p>
    <w:p w:rsidR="001A71BF" w:rsidRDefault="00542FF1" w:rsidP="00B3660A">
      <w:pPr>
        <w:suppressAutoHyphens/>
        <w:autoSpaceDN w:val="0"/>
        <w:ind w:firstLine="708"/>
        <w:jc w:val="both"/>
        <w:textAlignment w:val="baseline"/>
        <w:rPr>
          <w:rFonts w:cs="Arial CYR"/>
          <w:b/>
          <w:bCs/>
          <w:i/>
          <w:color w:val="000000"/>
          <w:u w:val="single"/>
        </w:rPr>
      </w:pPr>
      <w:r>
        <w:rPr>
          <w:rFonts w:cs="Arial CYR"/>
          <w:b/>
          <w:bCs/>
          <w:color w:val="000000"/>
        </w:rPr>
        <w:t>5</w:t>
      </w:r>
      <w:r w:rsidR="004112FB" w:rsidRPr="004112FB">
        <w:rPr>
          <w:rFonts w:cs="Arial CYR"/>
          <w:b/>
          <w:bCs/>
          <w:color w:val="000000"/>
        </w:rPr>
        <w:t>.</w:t>
      </w:r>
      <w:r w:rsidR="004112FB">
        <w:rPr>
          <w:rFonts w:cs="Arial CYR"/>
          <w:bCs/>
          <w:color w:val="000000"/>
        </w:rPr>
        <w:t xml:space="preserve"> </w:t>
      </w:r>
      <w:r w:rsidR="005A24E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Для регистрации в ТС пользователь в Личном кабинете выбирает форму заявления на регистрацию в ТС в зависимости от требуемых полномочий, указанных в пункте 2.1.2. настоящего Регламента, указывает (при необходимости) предусмотренные формой сведения и подписывает ЭП посредством штатного интерфейса ТС.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- копии документов, удостоверяющих личность заявителя (для граждан);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- </w:t>
      </w:r>
      <w:proofErr w:type="gramStart"/>
      <w:r w:rsidRPr="00994A1E">
        <w:rPr>
          <w:rFonts w:cs="Arial CYR"/>
          <w:bCs/>
          <w:color w:val="000000"/>
        </w:rPr>
        <w:t>надлежащим образом</w:t>
      </w:r>
      <w:proofErr w:type="gramEnd"/>
      <w:r w:rsidRPr="00994A1E">
        <w:rPr>
          <w:rFonts w:cs="Arial CYR"/>
          <w:bCs/>
          <w:color w:val="000000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- документы, подтверждающие внесение задатка.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- 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выданной и оформленной в соответствии с гражданским законодательством.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 либо лица, имеющего право действовать от имени заявителя.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Заявка не может быть принята Оператором в случаях: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а) отсутствия на лицевом счете Претендента достаточной суммы денежных средств в размере задатка;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б)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настоящего Регламента, регулирующими особенности проведения различных способов продажи имущества;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в) подачи заявки по истечении установленного срока подачи заявок;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г) некорректного заполнения формы заявки, в том числе </w:t>
      </w:r>
      <w:proofErr w:type="spellStart"/>
      <w:r w:rsidRPr="00994A1E">
        <w:rPr>
          <w:rFonts w:cs="Arial CYR"/>
          <w:bCs/>
          <w:color w:val="000000"/>
        </w:rPr>
        <w:t>незаполнения</w:t>
      </w:r>
      <w:proofErr w:type="spellEnd"/>
      <w:r w:rsidRPr="00994A1E">
        <w:rPr>
          <w:rFonts w:cs="Arial CYR"/>
          <w:bCs/>
          <w:color w:val="000000"/>
        </w:rPr>
        <w:t xml:space="preserve"> полей, являющихся обязательными для заполнения;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д) в других случаях, предусмотренных Регламентом ТС, для отдельных способов торгов.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До окончания срока подачи заявок Претендент, подавший заявку, вправе изменить или отозвать ее.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https://utp.sberbank-ast.ru/AP/Notice/652/Instructions.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ab/>
        <w:t>Заявитель не допускается к участию в аукционе в следующих случаях: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2) </w:t>
      </w:r>
      <w:proofErr w:type="spellStart"/>
      <w:r w:rsidRPr="00994A1E">
        <w:rPr>
          <w:rFonts w:cs="Arial CYR"/>
          <w:bCs/>
          <w:color w:val="000000"/>
        </w:rPr>
        <w:t>непоступление</w:t>
      </w:r>
      <w:proofErr w:type="spellEnd"/>
      <w:r w:rsidRPr="00994A1E">
        <w:rPr>
          <w:rFonts w:cs="Arial CYR"/>
          <w:bCs/>
          <w:color w:val="000000"/>
        </w:rPr>
        <w:t xml:space="preserve"> задатка на дату рассмотрения заявок на участие в аукционе;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Организатор торгов 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lastRenderedPageBreak/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F40DA5" w:rsidRDefault="00542FF1" w:rsidP="00B36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B3660A" w:rsidRDefault="00B3660A" w:rsidP="00B36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B3660A" w:rsidRPr="00B3660A" w:rsidRDefault="00B3660A" w:rsidP="00B36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</w:rPr>
      </w:pPr>
      <w:r w:rsidRPr="00275D25">
        <w:rPr>
          <w:rFonts w:cs="Arial CYR"/>
        </w:rPr>
        <w:t xml:space="preserve">универсальная торговая платформа АО «Сбербанк-АСТ», размещенная на сайте http://utp.sberbank-ast.ru в сети </w:t>
      </w:r>
      <w:r w:rsidRPr="00027D17">
        <w:rPr>
          <w:rFonts w:cs="Arial CYR"/>
        </w:rPr>
        <w:t>Интернет</w:t>
      </w:r>
      <w:r>
        <w:rPr>
          <w:rFonts w:cs="Arial CYR"/>
        </w:rPr>
        <w:t>.</w:t>
      </w:r>
    </w:p>
    <w:p w:rsidR="000F3ED5" w:rsidRPr="00B3660A" w:rsidRDefault="00027D17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B3660A">
        <w:rPr>
          <w:b/>
        </w:rPr>
        <w:t>Дата начала приема заявок</w:t>
      </w:r>
      <w:r w:rsidR="004112FB" w:rsidRPr="00B3660A">
        <w:rPr>
          <w:b/>
        </w:rPr>
        <w:t xml:space="preserve"> на участие в аукционе</w:t>
      </w:r>
      <w:r w:rsidRPr="00B3660A">
        <w:rPr>
          <w:b/>
        </w:rPr>
        <w:t xml:space="preserve"> – </w:t>
      </w:r>
    </w:p>
    <w:p w:rsidR="00027D17" w:rsidRPr="00B3660A" w:rsidRDefault="001A6BFE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30</w:t>
      </w:r>
      <w:r w:rsidR="00D037FE">
        <w:rPr>
          <w:u w:val="single"/>
        </w:rPr>
        <w:t xml:space="preserve"> апреля</w:t>
      </w:r>
      <w:r w:rsidR="00ED555F" w:rsidRPr="00B3660A">
        <w:rPr>
          <w:u w:val="single"/>
        </w:rPr>
        <w:t xml:space="preserve"> 202</w:t>
      </w:r>
      <w:r w:rsidR="00380A23">
        <w:rPr>
          <w:u w:val="single"/>
        </w:rPr>
        <w:t>5</w:t>
      </w:r>
      <w:r w:rsidR="00027D17" w:rsidRPr="00B3660A">
        <w:rPr>
          <w:u w:val="single"/>
        </w:rPr>
        <w:t xml:space="preserve"> г.</w:t>
      </w:r>
      <w:r w:rsidR="00B3660A" w:rsidRPr="00B3660A">
        <w:rPr>
          <w:u w:val="single"/>
        </w:rPr>
        <w:t xml:space="preserve"> с 1</w:t>
      </w:r>
      <w:r w:rsidR="00D037FE">
        <w:rPr>
          <w:u w:val="single"/>
        </w:rPr>
        <w:t>0</w:t>
      </w:r>
      <w:r w:rsidR="00B3660A" w:rsidRPr="00B3660A">
        <w:rPr>
          <w:u w:val="single"/>
        </w:rPr>
        <w:t xml:space="preserve"> час. 00 мин.</w:t>
      </w:r>
    </w:p>
    <w:p w:rsidR="000F3ED5" w:rsidRPr="00B3660A" w:rsidRDefault="00027D17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B3660A">
        <w:rPr>
          <w:b/>
        </w:rPr>
        <w:t>Дата окончания приема заявок</w:t>
      </w:r>
      <w:r w:rsidR="004112FB" w:rsidRPr="00B3660A">
        <w:rPr>
          <w:b/>
        </w:rPr>
        <w:t xml:space="preserve"> на участие в аукционе</w:t>
      </w:r>
      <w:r w:rsidRPr="00B3660A">
        <w:rPr>
          <w:b/>
        </w:rPr>
        <w:t xml:space="preserve"> – </w:t>
      </w:r>
    </w:p>
    <w:p w:rsidR="00027D17" w:rsidRPr="00B3660A" w:rsidRDefault="00D037FE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</w:t>
      </w:r>
      <w:r w:rsidR="006029D7">
        <w:rPr>
          <w:u w:val="single"/>
        </w:rPr>
        <w:t>9</w:t>
      </w:r>
      <w:r>
        <w:rPr>
          <w:u w:val="single"/>
        </w:rPr>
        <w:t xml:space="preserve"> мая</w:t>
      </w:r>
      <w:r w:rsidR="00542FF1">
        <w:rPr>
          <w:u w:val="single"/>
        </w:rPr>
        <w:t xml:space="preserve"> 202</w:t>
      </w:r>
      <w:r w:rsidR="00380A23">
        <w:rPr>
          <w:u w:val="single"/>
        </w:rPr>
        <w:t>5</w:t>
      </w:r>
      <w:r w:rsidR="0035587F" w:rsidRPr="00B3660A">
        <w:rPr>
          <w:u w:val="single"/>
        </w:rPr>
        <w:t xml:space="preserve"> г</w:t>
      </w:r>
      <w:r w:rsidR="00027D17" w:rsidRPr="00B3660A">
        <w:rPr>
          <w:u w:val="single"/>
        </w:rPr>
        <w:t xml:space="preserve">. </w:t>
      </w:r>
      <w:r w:rsidR="00B3660A" w:rsidRPr="00B3660A">
        <w:rPr>
          <w:u w:val="single"/>
        </w:rPr>
        <w:t>в 17 час. 00 мин.</w:t>
      </w:r>
    </w:p>
    <w:p w:rsidR="000F3ED5" w:rsidRPr="00B3660A" w:rsidRDefault="00027D17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B3660A">
        <w:rPr>
          <w:b/>
        </w:rPr>
        <w:t>Рассмотрение заявок и признание пр</w:t>
      </w:r>
      <w:r w:rsidR="004112FB" w:rsidRPr="00B3660A">
        <w:rPr>
          <w:b/>
        </w:rPr>
        <w:t xml:space="preserve">етендентов участниками аукциона </w:t>
      </w:r>
      <w:r w:rsidR="000F3ED5" w:rsidRPr="00B3660A">
        <w:rPr>
          <w:b/>
        </w:rPr>
        <w:t>–</w:t>
      </w:r>
      <w:r w:rsidR="004112FB" w:rsidRPr="00B3660A">
        <w:rPr>
          <w:b/>
        </w:rPr>
        <w:t xml:space="preserve"> </w:t>
      </w:r>
    </w:p>
    <w:p w:rsidR="00B3660A" w:rsidRDefault="006029D7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20</w:t>
      </w:r>
      <w:r w:rsidR="00D037FE">
        <w:rPr>
          <w:u w:val="single"/>
        </w:rPr>
        <w:t xml:space="preserve"> мая</w:t>
      </w:r>
      <w:r w:rsidR="00542FF1">
        <w:rPr>
          <w:u w:val="single"/>
        </w:rPr>
        <w:t xml:space="preserve"> 202</w:t>
      </w:r>
      <w:r w:rsidR="00380A23">
        <w:rPr>
          <w:u w:val="single"/>
        </w:rPr>
        <w:t>5</w:t>
      </w:r>
      <w:r w:rsidR="00027D17" w:rsidRPr="00B3660A">
        <w:rPr>
          <w:u w:val="single"/>
        </w:rPr>
        <w:t xml:space="preserve"> г. </w:t>
      </w:r>
    </w:p>
    <w:p w:rsidR="00D51C8F" w:rsidRPr="00AD61A4" w:rsidRDefault="00D51C8F" w:rsidP="00D5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u w:val="single"/>
        </w:rPr>
      </w:pPr>
      <w:r w:rsidRPr="00AD61A4">
        <w:rPr>
          <w:b/>
          <w:u w:val="single"/>
        </w:rPr>
        <w:t>Отказ от проведения аукциона</w:t>
      </w:r>
    </w:p>
    <w:p w:rsidR="00D51C8F" w:rsidRPr="00D51C8F" w:rsidRDefault="001A6BFE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14</w:t>
      </w:r>
      <w:r w:rsidR="00D037FE">
        <w:rPr>
          <w:u w:val="single"/>
        </w:rPr>
        <w:t xml:space="preserve"> мая</w:t>
      </w:r>
      <w:r w:rsidR="00D51C8F" w:rsidRPr="00D51C8F">
        <w:rPr>
          <w:u w:val="single"/>
        </w:rPr>
        <w:t xml:space="preserve"> 202</w:t>
      </w:r>
      <w:r w:rsidR="00380A23">
        <w:rPr>
          <w:u w:val="single"/>
        </w:rPr>
        <w:t>5</w:t>
      </w:r>
      <w:r w:rsidR="00D51C8F" w:rsidRPr="00D51C8F">
        <w:rPr>
          <w:u w:val="single"/>
        </w:rPr>
        <w:t xml:space="preserve"> г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3708A3">
        <w:rPr>
          <w:b/>
        </w:rPr>
        <w:t>6</w:t>
      </w:r>
      <w:r w:rsidR="004112FB" w:rsidRPr="003708A3">
        <w:rPr>
          <w:b/>
        </w:rPr>
        <w:t>.</w:t>
      </w:r>
      <w:r w:rsidRPr="00542FF1">
        <w:t xml:space="preserve"> </w:t>
      </w:r>
      <w:r w:rsidRPr="00994A1E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 w:rsidRPr="00994A1E"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994A1E">
        <w:rPr>
          <w:color w:val="00B050"/>
        </w:rPr>
        <w:t>(</w:t>
      </w:r>
      <w:hyperlink r:id="rId6" w:history="1">
        <w:r w:rsidRPr="00994A1E">
          <w:rPr>
            <w:color w:val="00B050"/>
            <w:u w:val="single"/>
          </w:rPr>
          <w:t>http://utp.sberbank-ast.ru/Main/Notice/988/Reglament</w:t>
        </w:r>
      </w:hyperlink>
      <w:r w:rsidRPr="00994A1E">
        <w:t xml:space="preserve">). 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ПОЛУЧАТЕЛЬ: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Наименование: АО «Сбербанк-АСТ»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ИНН: 7707308480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КПП: 770401001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Расчетный счет: 40702810300020038047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БАНК ПОЛУЧАТЕЛЯ: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Наименование банка: ПАО «СБЕРБАНК РОССИИ» Г. МОСКВА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БИК: 044525225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Корреспондентский счет: 30101810400000000225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542FF1" w:rsidRPr="00994A1E" w:rsidRDefault="001A6BFE" w:rsidP="001A6BFE">
      <w:pPr>
        <w:tabs>
          <w:tab w:val="left" w:pos="540"/>
        </w:tabs>
        <w:jc w:val="both"/>
        <w:outlineLvl w:val="0"/>
      </w:pPr>
      <w:r>
        <w:t xml:space="preserve">         </w:t>
      </w:r>
      <w:r w:rsidR="00542FF1" w:rsidRPr="00994A1E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1A6BFE" w:rsidRDefault="001A6BFE" w:rsidP="001A6BFE">
      <w:pPr>
        <w:tabs>
          <w:tab w:val="left" w:pos="540"/>
        </w:tabs>
        <w:jc w:val="both"/>
        <w:outlineLvl w:val="0"/>
      </w:pPr>
      <w:r>
        <w:t xml:space="preserve">        </w:t>
      </w:r>
      <w:bookmarkStart w:id="0" w:name="_GoBack"/>
      <w:bookmarkEnd w:id="0"/>
      <w:r>
        <w:t xml:space="preserve"> </w:t>
      </w:r>
      <w:r w:rsidR="00542FF1" w:rsidRPr="00994A1E"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</w:t>
      </w:r>
    </w:p>
    <w:p w:rsidR="001A6BFE" w:rsidRDefault="001A6BFE" w:rsidP="001A6BFE">
      <w:pPr>
        <w:tabs>
          <w:tab w:val="left" w:pos="540"/>
        </w:tabs>
        <w:jc w:val="both"/>
        <w:outlineLvl w:val="0"/>
      </w:pPr>
    </w:p>
    <w:p w:rsidR="00542FF1" w:rsidRPr="00994A1E" w:rsidRDefault="00542FF1" w:rsidP="001A6BFE">
      <w:pPr>
        <w:tabs>
          <w:tab w:val="left" w:pos="540"/>
        </w:tabs>
        <w:jc w:val="both"/>
        <w:outlineLvl w:val="0"/>
      </w:pPr>
      <w:r w:rsidRPr="00994A1E">
        <w:lastRenderedPageBreak/>
        <w:t xml:space="preserve">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  <w:u w:val="single"/>
        </w:rPr>
        <w:t>Порядок возврата задатка</w:t>
      </w:r>
      <w:r w:rsidRPr="00994A1E">
        <w:rPr>
          <w:rFonts w:eastAsia="Calibri"/>
        </w:rPr>
        <w:t xml:space="preserve">: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 w:rsidRPr="00994A1E">
        <w:rPr>
          <w:rFonts w:cs="Arial CYR"/>
          <w:bCs/>
          <w:color w:val="000000"/>
        </w:rPr>
        <w:t xml:space="preserve">универсальной торговой платформе </w:t>
      </w:r>
      <w:r w:rsidRPr="00994A1E">
        <w:rPr>
          <w:rFonts w:eastAsia="Calibri"/>
          <w:color w:val="000000"/>
        </w:rPr>
        <w:t>АО «Сбербанк-АСТ»</w:t>
      </w:r>
      <w:r w:rsidRPr="00994A1E">
        <w:rPr>
          <w:rFonts w:eastAsia="Calibri"/>
        </w:rPr>
        <w:t>;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 w:rsidRPr="00994A1E">
        <w:rPr>
          <w:rFonts w:cs="Arial CYR"/>
          <w:bCs/>
          <w:color w:val="000000"/>
        </w:rPr>
        <w:t xml:space="preserve">универсальной торговой платформе </w:t>
      </w:r>
      <w:r w:rsidRPr="00994A1E">
        <w:rPr>
          <w:rFonts w:eastAsia="Calibri"/>
          <w:color w:val="000000"/>
        </w:rPr>
        <w:t>АО «Сбербанк-АСТ»;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 w:rsidRPr="00994A1E">
        <w:rPr>
          <w:rFonts w:cs="Arial CYR"/>
          <w:bCs/>
          <w:color w:val="000000"/>
        </w:rPr>
        <w:t xml:space="preserve">универсальной торговой платформе </w:t>
      </w:r>
      <w:r w:rsidRPr="00994A1E">
        <w:rPr>
          <w:rFonts w:eastAsia="Calibri"/>
          <w:color w:val="000000"/>
        </w:rPr>
        <w:t>АО «Сбербанк-АСТ»</w:t>
      </w:r>
      <w:r w:rsidRPr="00994A1E"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D037FE" w:rsidRDefault="00542FF1" w:rsidP="00542FF1">
      <w:pPr>
        <w:tabs>
          <w:tab w:val="left" w:pos="540"/>
        </w:tabs>
        <w:jc w:val="both"/>
        <w:outlineLvl w:val="0"/>
        <w:rPr>
          <w:rFonts w:eastAsia="Calibri"/>
        </w:rPr>
      </w:pPr>
      <w:r w:rsidRPr="00994A1E"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 купли-продажи земельного участка. При уклонении или отказе победителя аукциона </w:t>
      </w:r>
      <w:r w:rsidR="00D037FE">
        <w:rPr>
          <w:rFonts w:eastAsia="Calibri"/>
        </w:rPr>
        <w:t xml:space="preserve">            </w:t>
      </w:r>
    </w:p>
    <w:p w:rsidR="00542FF1" w:rsidRPr="00994A1E" w:rsidRDefault="00542FF1" w:rsidP="00542FF1">
      <w:pPr>
        <w:tabs>
          <w:tab w:val="left" w:pos="540"/>
        </w:tabs>
        <w:jc w:val="both"/>
        <w:outlineLvl w:val="0"/>
        <w:rPr>
          <w:rFonts w:eastAsia="Calibri"/>
        </w:rPr>
      </w:pPr>
      <w:r w:rsidRPr="00994A1E">
        <w:rPr>
          <w:rFonts w:eastAsia="Calibri"/>
        </w:rPr>
        <w:t xml:space="preserve">от заключения в установленный срок договора купли-продажи земельного участка задаток ему не возвращается, и он утрачивает право на заключение указанного договора. </w:t>
      </w:r>
    </w:p>
    <w:p w:rsidR="00542FF1" w:rsidRPr="00994A1E" w:rsidRDefault="00542FF1" w:rsidP="00542FF1">
      <w:pPr>
        <w:tabs>
          <w:tab w:val="left" w:pos="540"/>
        </w:tabs>
        <w:jc w:val="both"/>
        <w:outlineLvl w:val="0"/>
        <w:rPr>
          <w:rFonts w:eastAsia="Calibri"/>
        </w:rPr>
      </w:pPr>
      <w:r w:rsidRPr="00994A1E">
        <w:rPr>
          <w:rFonts w:eastAsia="Calibri"/>
        </w:rPr>
        <w:tab/>
      </w:r>
      <w:r>
        <w:rPr>
          <w:rFonts w:eastAsia="Calibri"/>
          <w:b/>
        </w:rPr>
        <w:t>7</w:t>
      </w:r>
      <w:r w:rsidRPr="00994A1E">
        <w:rPr>
          <w:rFonts w:eastAsia="Calibri"/>
          <w:b/>
        </w:rPr>
        <w:t>.</w:t>
      </w:r>
      <w:r w:rsidRPr="00994A1E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994A1E">
        <w:t xml:space="preserve"> </w:t>
      </w:r>
      <w:r w:rsidRPr="00994A1E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42FF1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</w:rPr>
      </w:pPr>
    </w:p>
    <w:p w:rsidR="00B83E1A" w:rsidRDefault="00B83E1A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B83E1A" w:rsidRDefault="00B83E1A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ED555F" w:rsidRDefault="00ED555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Pr="00E53C3C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sectPr w:rsidR="00D51C8F" w:rsidRPr="00E53C3C" w:rsidSect="00D037FE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2D68"/>
    <w:rsid w:val="00004AED"/>
    <w:rsid w:val="00027D17"/>
    <w:rsid w:val="00034FAA"/>
    <w:rsid w:val="000408C9"/>
    <w:rsid w:val="000420DC"/>
    <w:rsid w:val="00062468"/>
    <w:rsid w:val="0008436C"/>
    <w:rsid w:val="000A063D"/>
    <w:rsid w:val="000E3BA3"/>
    <w:rsid w:val="000F3ED5"/>
    <w:rsid w:val="00105F1C"/>
    <w:rsid w:val="00106AE7"/>
    <w:rsid w:val="00113C69"/>
    <w:rsid w:val="00114D8E"/>
    <w:rsid w:val="00133C42"/>
    <w:rsid w:val="0017532E"/>
    <w:rsid w:val="00180F75"/>
    <w:rsid w:val="001844FF"/>
    <w:rsid w:val="001A40D7"/>
    <w:rsid w:val="001A6BFE"/>
    <w:rsid w:val="001A71BF"/>
    <w:rsid w:val="001E0001"/>
    <w:rsid w:val="001E7717"/>
    <w:rsid w:val="00201163"/>
    <w:rsid w:val="00216C9B"/>
    <w:rsid w:val="00221DF9"/>
    <w:rsid w:val="00244AB1"/>
    <w:rsid w:val="00253C0E"/>
    <w:rsid w:val="002725A3"/>
    <w:rsid w:val="00275D25"/>
    <w:rsid w:val="002963DA"/>
    <w:rsid w:val="002A5929"/>
    <w:rsid w:val="002C0DF0"/>
    <w:rsid w:val="002C6803"/>
    <w:rsid w:val="002C6B6A"/>
    <w:rsid w:val="002D41F5"/>
    <w:rsid w:val="002F45DF"/>
    <w:rsid w:val="003037F7"/>
    <w:rsid w:val="00336D89"/>
    <w:rsid w:val="00337A83"/>
    <w:rsid w:val="003531B5"/>
    <w:rsid w:val="0035587F"/>
    <w:rsid w:val="00360746"/>
    <w:rsid w:val="003624C1"/>
    <w:rsid w:val="003708A3"/>
    <w:rsid w:val="00380A23"/>
    <w:rsid w:val="003C033A"/>
    <w:rsid w:val="003C35EC"/>
    <w:rsid w:val="003D4B20"/>
    <w:rsid w:val="004059D0"/>
    <w:rsid w:val="00407777"/>
    <w:rsid w:val="004112FB"/>
    <w:rsid w:val="00413073"/>
    <w:rsid w:val="00416587"/>
    <w:rsid w:val="00417E73"/>
    <w:rsid w:val="004200F7"/>
    <w:rsid w:val="004835B8"/>
    <w:rsid w:val="00486E3E"/>
    <w:rsid w:val="00487464"/>
    <w:rsid w:val="004B4B65"/>
    <w:rsid w:val="004F12F2"/>
    <w:rsid w:val="004F42E1"/>
    <w:rsid w:val="0051210A"/>
    <w:rsid w:val="0053745F"/>
    <w:rsid w:val="00542FF1"/>
    <w:rsid w:val="005642E2"/>
    <w:rsid w:val="00580F52"/>
    <w:rsid w:val="00596527"/>
    <w:rsid w:val="005A162F"/>
    <w:rsid w:val="005A24E6"/>
    <w:rsid w:val="005B1BA8"/>
    <w:rsid w:val="005D3344"/>
    <w:rsid w:val="005D785C"/>
    <w:rsid w:val="005E3832"/>
    <w:rsid w:val="00600009"/>
    <w:rsid w:val="006029D7"/>
    <w:rsid w:val="00617757"/>
    <w:rsid w:val="00675128"/>
    <w:rsid w:val="00683C4D"/>
    <w:rsid w:val="006C5724"/>
    <w:rsid w:val="006D62E3"/>
    <w:rsid w:val="006E10B7"/>
    <w:rsid w:val="006E69DE"/>
    <w:rsid w:val="00706889"/>
    <w:rsid w:val="007324F1"/>
    <w:rsid w:val="00733452"/>
    <w:rsid w:val="00746839"/>
    <w:rsid w:val="0076789E"/>
    <w:rsid w:val="00767E8D"/>
    <w:rsid w:val="0079157C"/>
    <w:rsid w:val="007C364A"/>
    <w:rsid w:val="007C609E"/>
    <w:rsid w:val="007C6D02"/>
    <w:rsid w:val="007D79AD"/>
    <w:rsid w:val="00800FF7"/>
    <w:rsid w:val="00805EA5"/>
    <w:rsid w:val="0083404C"/>
    <w:rsid w:val="008601B3"/>
    <w:rsid w:val="008A620C"/>
    <w:rsid w:val="008B2EB3"/>
    <w:rsid w:val="008F2245"/>
    <w:rsid w:val="008F7820"/>
    <w:rsid w:val="009262C0"/>
    <w:rsid w:val="00945B1C"/>
    <w:rsid w:val="00963C14"/>
    <w:rsid w:val="00975A1A"/>
    <w:rsid w:val="009A5F4B"/>
    <w:rsid w:val="009C5676"/>
    <w:rsid w:val="009F60E6"/>
    <w:rsid w:val="00A0243A"/>
    <w:rsid w:val="00A23A97"/>
    <w:rsid w:val="00A4046A"/>
    <w:rsid w:val="00A5148F"/>
    <w:rsid w:val="00A67104"/>
    <w:rsid w:val="00A676A9"/>
    <w:rsid w:val="00A759A9"/>
    <w:rsid w:val="00A84183"/>
    <w:rsid w:val="00A87C2F"/>
    <w:rsid w:val="00A902BF"/>
    <w:rsid w:val="00A90F12"/>
    <w:rsid w:val="00A90F5B"/>
    <w:rsid w:val="00A97631"/>
    <w:rsid w:val="00AC5242"/>
    <w:rsid w:val="00B149D7"/>
    <w:rsid w:val="00B3660A"/>
    <w:rsid w:val="00B57DB4"/>
    <w:rsid w:val="00B61CD2"/>
    <w:rsid w:val="00B63036"/>
    <w:rsid w:val="00B67E2F"/>
    <w:rsid w:val="00B83E1A"/>
    <w:rsid w:val="00BA6058"/>
    <w:rsid w:val="00BD19FC"/>
    <w:rsid w:val="00BE3C56"/>
    <w:rsid w:val="00C1091E"/>
    <w:rsid w:val="00C1550E"/>
    <w:rsid w:val="00C162C5"/>
    <w:rsid w:val="00C23AFD"/>
    <w:rsid w:val="00C41ABE"/>
    <w:rsid w:val="00C44A9A"/>
    <w:rsid w:val="00C45485"/>
    <w:rsid w:val="00C653E7"/>
    <w:rsid w:val="00C8312E"/>
    <w:rsid w:val="00C8612A"/>
    <w:rsid w:val="00CA48ED"/>
    <w:rsid w:val="00CA749A"/>
    <w:rsid w:val="00CA7772"/>
    <w:rsid w:val="00CB1E00"/>
    <w:rsid w:val="00CC0993"/>
    <w:rsid w:val="00CF6C6F"/>
    <w:rsid w:val="00D037FE"/>
    <w:rsid w:val="00D076B0"/>
    <w:rsid w:val="00D11423"/>
    <w:rsid w:val="00D20784"/>
    <w:rsid w:val="00D51C8F"/>
    <w:rsid w:val="00DC5A81"/>
    <w:rsid w:val="00DE23E1"/>
    <w:rsid w:val="00E01D37"/>
    <w:rsid w:val="00E14B4D"/>
    <w:rsid w:val="00E23835"/>
    <w:rsid w:val="00E25A20"/>
    <w:rsid w:val="00E42866"/>
    <w:rsid w:val="00E517B3"/>
    <w:rsid w:val="00E53C3C"/>
    <w:rsid w:val="00E55056"/>
    <w:rsid w:val="00EB22E9"/>
    <w:rsid w:val="00EC7BCD"/>
    <w:rsid w:val="00ED555F"/>
    <w:rsid w:val="00EF6400"/>
    <w:rsid w:val="00F21AB5"/>
    <w:rsid w:val="00F30B6D"/>
    <w:rsid w:val="00F3100A"/>
    <w:rsid w:val="00F40DA5"/>
    <w:rsid w:val="00F70B5C"/>
    <w:rsid w:val="00F92E16"/>
    <w:rsid w:val="00FB23A8"/>
    <w:rsid w:val="00FB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CCB17-FB93-482B-9C91-F833BF0D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6C57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Main/Notice/988/Regla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14727-6D10-449F-9CE6-B08F8FE0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6</Pages>
  <Words>3054</Words>
  <Characters>17411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В. Вайверова</cp:lastModifiedBy>
  <cp:revision>35</cp:revision>
  <cp:lastPrinted>2025-04-28T07:25:00Z</cp:lastPrinted>
  <dcterms:created xsi:type="dcterms:W3CDTF">2022-08-24T14:12:00Z</dcterms:created>
  <dcterms:modified xsi:type="dcterms:W3CDTF">2025-04-28T09:30:00Z</dcterms:modified>
</cp:coreProperties>
</file>