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="0017532E">
        <w:rPr>
          <w:b/>
          <w:sz w:val="28"/>
          <w:szCs w:val="28"/>
        </w:rPr>
        <w:t>по продаже земельн</w:t>
      </w:r>
      <w:r w:rsidR="003531B5">
        <w:rPr>
          <w:b/>
          <w:sz w:val="28"/>
          <w:szCs w:val="28"/>
        </w:rPr>
        <w:t>ых</w:t>
      </w:r>
      <w:r w:rsidR="0017532E">
        <w:rPr>
          <w:b/>
          <w:sz w:val="28"/>
          <w:szCs w:val="28"/>
        </w:rPr>
        <w:t xml:space="preserve"> участк</w:t>
      </w:r>
      <w:r w:rsidR="003531B5">
        <w:rPr>
          <w:b/>
          <w:sz w:val="28"/>
          <w:szCs w:val="28"/>
        </w:rPr>
        <w:t>ов</w:t>
      </w:r>
    </w:p>
    <w:p w:rsidR="00975A1A" w:rsidRPr="00275D25" w:rsidRDefault="00975A1A" w:rsidP="004112FB">
      <w:pPr>
        <w:jc w:val="center"/>
      </w:pPr>
    </w:p>
    <w:p w:rsidR="005E3832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5E3832">
        <w:rPr>
          <w:b/>
          <w:bCs/>
          <w:i/>
          <w:u w:val="single"/>
        </w:rPr>
        <w:t>О</w:t>
      </w:r>
      <w:r w:rsidR="001844FF" w:rsidRPr="005E3832">
        <w:rPr>
          <w:b/>
          <w:i/>
          <w:u w:val="single"/>
        </w:rPr>
        <w:t>рганизатор аукциона</w:t>
      </w:r>
      <w:r w:rsidR="001844FF" w:rsidRPr="005E3832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5E3832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360746" w:rsidRPr="005E3832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5E3832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F1060D">
        <w:rPr>
          <w:rFonts w:cs="Arial CYR"/>
          <w:color w:val="000000"/>
        </w:rPr>
        <w:t>31</w:t>
      </w:r>
      <w:r w:rsidR="00CC0993">
        <w:rPr>
          <w:rFonts w:cs="Arial CYR"/>
        </w:rPr>
        <w:t>.0</w:t>
      </w:r>
      <w:r w:rsidR="00F1060D">
        <w:rPr>
          <w:rFonts w:cs="Arial CYR"/>
        </w:rPr>
        <w:t>3</w:t>
      </w:r>
      <w:r w:rsidR="005B1BA8">
        <w:rPr>
          <w:rFonts w:cs="Arial CYR"/>
        </w:rPr>
        <w:t>.202</w:t>
      </w:r>
      <w:r w:rsidR="00F1060D">
        <w:rPr>
          <w:rFonts w:cs="Arial CYR"/>
        </w:rPr>
        <w:t>5</w:t>
      </w:r>
      <w:r w:rsidR="00253C0E">
        <w:rPr>
          <w:rFonts w:cs="Arial CYR"/>
        </w:rPr>
        <w:t xml:space="preserve"> № </w:t>
      </w:r>
      <w:r w:rsidR="00F1060D">
        <w:rPr>
          <w:rFonts w:cs="Arial CYR"/>
        </w:rPr>
        <w:t>94</w:t>
      </w:r>
      <w:r w:rsidR="00742ECF">
        <w:rPr>
          <w:rFonts w:cs="Arial CYR"/>
        </w:rPr>
        <w:t>1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 xml:space="preserve">«О проведении открытого аукциона </w:t>
      </w:r>
      <w:r w:rsidR="0017532E">
        <w:rPr>
          <w:rFonts w:cs="Arial CYR"/>
        </w:rPr>
        <w:t xml:space="preserve">по продаже </w:t>
      </w:r>
      <w:r w:rsidR="005B1BA8">
        <w:rPr>
          <w:rFonts w:cs="Arial CYR"/>
        </w:rPr>
        <w:t>земельн</w:t>
      </w:r>
      <w:r w:rsidR="002A5929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2A5929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5E3832">
        <w:rPr>
          <w:rFonts w:cs="Arial CYR"/>
          <w:b/>
          <w:i/>
          <w:u w:val="single"/>
        </w:rPr>
        <w:t xml:space="preserve">Место, дата и время и порядок </w:t>
      </w:r>
      <w:r w:rsidRPr="005E3832">
        <w:rPr>
          <w:rFonts w:cs="Arial CYR"/>
          <w:b/>
          <w:i/>
          <w:u w:val="single"/>
        </w:rPr>
        <w:t>проведения электронного аукциона</w:t>
      </w:r>
      <w:r w:rsidRPr="005E3832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5E3832" w:rsidRPr="00C44A9A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5E3832">
        <w:rPr>
          <w:rFonts w:cs="Arial CYR"/>
        </w:rPr>
        <w:t>»).</w:t>
      </w:r>
    </w:p>
    <w:p w:rsidR="001A71BF" w:rsidRPr="00416587" w:rsidRDefault="00275D25" w:rsidP="005E3832">
      <w:pPr>
        <w:widowControl w:val="0"/>
        <w:tabs>
          <w:tab w:val="left" w:pos="567"/>
          <w:tab w:val="left" w:pos="3600"/>
        </w:tabs>
        <w:jc w:val="center"/>
        <w:rPr>
          <w:rFonts w:cs="Arial CYR"/>
          <w:b/>
          <w:u w:val="single"/>
        </w:rPr>
      </w:pP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416587">
        <w:rPr>
          <w:rFonts w:cs="Arial CYR"/>
          <w:b/>
          <w:u w:val="single"/>
        </w:rPr>
        <w:t xml:space="preserve">состоится </w:t>
      </w:r>
      <w:r w:rsidR="00742ECF">
        <w:rPr>
          <w:rFonts w:cs="Arial CYR"/>
          <w:b/>
          <w:u w:val="single"/>
        </w:rPr>
        <w:t>14</w:t>
      </w:r>
      <w:r w:rsidR="00F04E8B">
        <w:rPr>
          <w:rFonts w:cs="Arial CYR"/>
          <w:b/>
          <w:u w:val="single"/>
        </w:rPr>
        <w:t xml:space="preserve"> мая</w:t>
      </w:r>
      <w:r w:rsidR="007C609E" w:rsidRPr="00416587">
        <w:rPr>
          <w:rFonts w:cs="Arial CYR"/>
          <w:b/>
          <w:u w:val="single"/>
        </w:rPr>
        <w:t xml:space="preserve"> </w:t>
      </w:r>
      <w:r w:rsidR="003531B5" w:rsidRPr="00416587">
        <w:rPr>
          <w:rFonts w:cs="Arial CYR"/>
          <w:b/>
          <w:u w:val="single"/>
        </w:rPr>
        <w:t>202</w:t>
      </w:r>
      <w:r w:rsidR="00380A23">
        <w:rPr>
          <w:rFonts w:cs="Arial CYR"/>
          <w:b/>
          <w:u w:val="single"/>
        </w:rPr>
        <w:t>5</w:t>
      </w:r>
      <w:r w:rsidR="003D4B20" w:rsidRPr="00416587">
        <w:rPr>
          <w:rFonts w:cs="Arial CYR"/>
          <w:b/>
          <w:u w:val="single"/>
        </w:rPr>
        <w:t xml:space="preserve"> г.</w:t>
      </w:r>
      <w:r w:rsidR="004112FB" w:rsidRPr="00416587">
        <w:rPr>
          <w:rFonts w:cs="Arial CYR"/>
          <w:b/>
          <w:u w:val="single"/>
        </w:rPr>
        <w:t xml:space="preserve"> в 10 час. 00 мин.</w:t>
      </w:r>
    </w:p>
    <w:p w:rsidR="00A90F5B" w:rsidRDefault="00275D25" w:rsidP="00A90F5B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6587">
        <w:rPr>
          <w:u w:val="single"/>
        </w:rPr>
        <w:t>П</w:t>
      </w:r>
      <w:r w:rsidR="003D4B20" w:rsidRPr="00416587">
        <w:rPr>
          <w:u w:val="single"/>
        </w:rPr>
        <w:t>орядок проведени</w:t>
      </w:r>
      <w:r w:rsidR="001A71BF" w:rsidRPr="00416587">
        <w:rPr>
          <w:u w:val="single"/>
        </w:rPr>
        <w:t xml:space="preserve">я аукциона в </w:t>
      </w:r>
      <w:r w:rsidR="001A71BF">
        <w:rPr>
          <w:u w:val="single"/>
        </w:rPr>
        <w:t>электронной форме</w:t>
      </w:r>
    </w:p>
    <w:p w:rsidR="00417E73" w:rsidRDefault="00A90F5B" w:rsidP="00A5148F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</w:t>
      </w:r>
      <w:r w:rsidR="003C35EC" w:rsidRPr="003C35EC">
        <w:t xml:space="preserve"> универсальн</w:t>
      </w:r>
      <w:r w:rsidR="003C35EC">
        <w:t>ой</w:t>
      </w:r>
      <w:r w:rsidR="003C35EC" w:rsidRPr="003C35EC">
        <w:t xml:space="preserve"> торгов</w:t>
      </w:r>
      <w:r w:rsidR="003C35EC">
        <w:t>ой</w:t>
      </w:r>
      <w:r w:rsidR="003C35EC" w:rsidRPr="003C35EC">
        <w:t xml:space="preserve"> платформ</w:t>
      </w:r>
      <w:r w:rsidR="003C35EC">
        <w:t>ы</w:t>
      </w:r>
      <w:r w:rsidR="003C35EC" w:rsidRPr="003C35EC">
        <w:t xml:space="preserve"> АО «Сбербанк-АСТ»</w:t>
      </w:r>
      <w:r w:rsidRPr="001A71BF">
        <w:t xml:space="preserve"> в соответствии с Земельным кодексом РФ с учетом особенностей, указанных в разделе 23 Регламента ТС.</w:t>
      </w:r>
    </w:p>
    <w:p w:rsidR="001A71BF" w:rsidRDefault="001A71BF" w:rsidP="001A71BF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1A71BF" w:rsidRDefault="001A71BF" w:rsidP="001A71BF">
      <w:pPr>
        <w:ind w:firstLine="567"/>
        <w:jc w:val="both"/>
      </w:pPr>
      <w:r>
        <w:t xml:space="preserve">Торговая сессия не проводится в случаях, если: </w:t>
      </w:r>
    </w:p>
    <w:p w:rsidR="001A71BF" w:rsidRDefault="001A71BF" w:rsidP="001A71BF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1A71BF" w:rsidRDefault="001A71BF" w:rsidP="001A71BF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1A71BF" w:rsidRDefault="001A71BF" w:rsidP="001A71BF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1A71BF" w:rsidRDefault="001A71BF" w:rsidP="001A71BF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1A71BF" w:rsidRDefault="001A71BF" w:rsidP="001A71BF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1A71BF" w:rsidRDefault="001A71BF" w:rsidP="001A71BF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1A71BF" w:rsidRDefault="001A71BF" w:rsidP="001A71BF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1A71BF" w:rsidRDefault="001A71BF" w:rsidP="001A71BF">
      <w:pPr>
        <w:ind w:firstLine="567"/>
        <w:jc w:val="both"/>
      </w:pPr>
      <w:r>
        <w:lastRenderedPageBreak/>
        <w:t xml:space="preserve">- представленное предложение о цене равно нулю;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A71BF" w:rsidRDefault="001A71BF" w:rsidP="001A71BF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1A71BF" w:rsidRDefault="001A71BF" w:rsidP="001A71BF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9A5F4B" w:rsidRPr="00417E73" w:rsidRDefault="009A5F4B" w:rsidP="001A71BF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FB23A8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1A71BF" w:rsidRDefault="001A71BF" w:rsidP="001A71BF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1A71BF" w:rsidRPr="001A71BF" w:rsidRDefault="001A71BF" w:rsidP="001A71BF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1A71BF" w:rsidRDefault="001A71BF" w:rsidP="001A71BF">
      <w:pPr>
        <w:ind w:firstLine="567"/>
        <w:jc w:val="both"/>
      </w:pPr>
      <w:r>
        <w:t xml:space="preserve">Подведение итогов торгов: </w:t>
      </w:r>
    </w:p>
    <w:p w:rsidR="001A71BF" w:rsidRDefault="001A71BF" w:rsidP="001A71BF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1A71BF" w:rsidRPr="003D4B20" w:rsidRDefault="001A71BF" w:rsidP="001A71B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76789E">
        <w:rPr>
          <w:b/>
        </w:rPr>
        <w:t>.1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5E3832">
        <w:rPr>
          <w:b/>
          <w:i/>
          <w:u w:val="single"/>
        </w:rPr>
        <w:t>Предмет аукциона</w:t>
      </w:r>
      <w:r w:rsidR="004112FB" w:rsidRPr="005E3832">
        <w:rPr>
          <w:b/>
          <w:i/>
        </w:rPr>
        <w:t>:</w:t>
      </w:r>
    </w:p>
    <w:p w:rsidR="00C45485" w:rsidRPr="0035587F" w:rsidRDefault="000F3ED5" w:rsidP="001E7717">
      <w:pPr>
        <w:jc w:val="both"/>
      </w:pPr>
      <w:r>
        <w:t>Продажа земельного участка.</w:t>
      </w:r>
    </w:p>
    <w:p w:rsidR="007C609E" w:rsidRPr="0035587F" w:rsidRDefault="002A5929" w:rsidP="007C609E">
      <w:pPr>
        <w:jc w:val="both"/>
      </w:pPr>
      <w:r>
        <w:rPr>
          <w:u w:val="single"/>
        </w:rPr>
        <w:t>Лот</w:t>
      </w:r>
      <w:r w:rsidR="007C609E" w:rsidRPr="005B1BA8">
        <w:rPr>
          <w:u w:val="single"/>
        </w:rPr>
        <w:t>.</w:t>
      </w:r>
      <w:r w:rsidR="007C609E"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034FAA">
        <w:t>стровый номер: 60:25:00</w:t>
      </w:r>
      <w:r w:rsidR="00742ECF">
        <w:t>40401</w:t>
      </w:r>
      <w:r w:rsidR="00486E3E">
        <w:t>:</w:t>
      </w:r>
      <w:r w:rsidR="00F1060D">
        <w:t>5</w:t>
      </w:r>
      <w:r w:rsidR="00742ECF">
        <w:t>11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380A23">
        <w:t xml:space="preserve">: </w:t>
      </w:r>
      <w:r w:rsidR="00742ECF">
        <w:t>439</w:t>
      </w:r>
      <w:r w:rsidR="00F30B6D" w:rsidRPr="0035587F">
        <w:t xml:space="preserve"> </w:t>
      </w:r>
      <w:r w:rsidR="009262C0">
        <w:t>кв.м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742ECF">
        <w:t>складские площадки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034FAA">
        <w:t>при</w:t>
      </w:r>
      <w:r w:rsidR="00742ECF">
        <w:t>мерно в 25 метрах в северном направлении от земельного участка по ул. Гоголя, 5А</w:t>
      </w:r>
      <w:r w:rsidR="003624C1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</w:p>
    <w:p w:rsidR="00360746" w:rsidRPr="0035587F" w:rsidRDefault="00360746" w:rsidP="007C609E">
      <w:pPr>
        <w:jc w:val="both"/>
      </w:pPr>
      <w:r>
        <w:t>Сведения о правах: государственная собственность на земельный участок не разграничена.</w:t>
      </w:r>
    </w:p>
    <w:p w:rsidR="00975A1A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1E7717">
        <w:rPr>
          <w:rFonts w:eastAsia="Lucida Sans Unicode"/>
          <w:color w:val="000000"/>
          <w:kern w:val="3"/>
          <w:lang w:bidi="en-US"/>
        </w:rPr>
        <w:t>производственной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1E7717">
        <w:rPr>
          <w:rFonts w:eastAsia="Lucida Sans Unicode"/>
          <w:color w:val="000000"/>
          <w:kern w:val="3"/>
          <w:lang w:bidi="en-US"/>
        </w:rPr>
        <w:t>П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742ECF">
        <w:rPr>
          <w:rFonts w:eastAsia="Lucida Sans Unicode"/>
          <w:color w:val="000000"/>
          <w:kern w:val="3"/>
          <w:lang w:bidi="en-US"/>
        </w:rPr>
        <w:t>16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В соответствии с градостроительными регламентами </w:t>
      </w:r>
      <w:r w:rsidR="00AC5242">
        <w:rPr>
          <w:rFonts w:eastAsia="Lucida Sans Unicode"/>
          <w:color w:val="000000"/>
          <w:kern w:val="3"/>
          <w:lang w:bidi="en-US"/>
        </w:rPr>
        <w:t xml:space="preserve">вид разрешенного использования </w:t>
      </w:r>
      <w:r w:rsidRPr="00BD0736">
        <w:rPr>
          <w:rFonts w:eastAsia="Lucida Sans Unicode"/>
          <w:color w:val="000000"/>
          <w:kern w:val="3"/>
          <w:lang w:val="x-none" w:bidi="en-US"/>
        </w:rPr>
        <w:t>«</w:t>
      </w:r>
      <w:r w:rsidR="00F1060D">
        <w:rPr>
          <w:rFonts w:eastAsia="Lucida Sans Unicode"/>
          <w:color w:val="000000"/>
          <w:kern w:val="3"/>
          <w:lang w:bidi="en-US"/>
        </w:rPr>
        <w:t>стоянка транспортных средств</w:t>
      </w:r>
      <w:r w:rsidRPr="00BD0736">
        <w:rPr>
          <w:rFonts w:eastAsia="Lucida Sans Unicode"/>
          <w:color w:val="000000"/>
          <w:kern w:val="3"/>
          <w:lang w:val="x-none" w:bidi="en-US"/>
        </w:rPr>
        <w:t>» относ</w:t>
      </w:r>
      <w:r w:rsidR="00A97631">
        <w:rPr>
          <w:rFonts w:eastAsia="Lucida Sans Unicode"/>
          <w:color w:val="000000"/>
          <w:kern w:val="3"/>
          <w:lang w:bidi="en-US"/>
        </w:rPr>
        <w:t>и</w:t>
      </w:r>
      <w:proofErr w:type="spellStart"/>
      <w:r w:rsidR="005D3344">
        <w:rPr>
          <w:rFonts w:eastAsia="Lucida Sans Unicode"/>
          <w:color w:val="000000"/>
          <w:kern w:val="3"/>
          <w:lang w:val="x-none" w:bidi="en-US"/>
        </w:rPr>
        <w:t>тся</w:t>
      </w:r>
      <w:proofErr w:type="spellEnd"/>
      <w:r w:rsidR="00F04E8B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>к основному виду разрешенного использования в указанной зоне.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lastRenderedPageBreak/>
        <w:t>Обременения и ограничения в использовании земельного участка:</w:t>
      </w:r>
    </w:p>
    <w:p w:rsidR="001E7717" w:rsidRPr="00580F52" w:rsidRDefault="00EC7BCD" w:rsidP="00EC7BC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3531B5" w:rsidRPr="00580F52">
        <w:rPr>
          <w:rFonts w:eastAsia="Calibri"/>
          <w:lang w:eastAsia="en-US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5A6C27" w:rsidRPr="00D91E27" w:rsidRDefault="006C5724" w:rsidP="008E427D">
      <w:pPr>
        <w:jc w:val="both"/>
        <w:rPr>
          <w:rFonts w:eastAsia="Calibri"/>
        </w:rPr>
      </w:pPr>
      <w:r w:rsidRPr="00580F52">
        <w:rPr>
          <w:rFonts w:eastAsia="Calibri"/>
        </w:rPr>
        <w:t xml:space="preserve">           </w:t>
      </w:r>
    </w:p>
    <w:p w:rsidR="00B3660A" w:rsidRPr="00580F52" w:rsidRDefault="00D91E27" w:rsidP="005A6C27">
      <w:pPr>
        <w:jc w:val="both"/>
      </w:pPr>
      <w:r w:rsidRPr="00D91E27">
        <w:t xml:space="preserve">  </w:t>
      </w:r>
      <w:r w:rsidR="005A6C27">
        <w:t xml:space="preserve">        </w:t>
      </w:r>
      <w:r w:rsidR="0076789E" w:rsidRPr="00580F52">
        <w:rPr>
          <w:b/>
          <w:u w:val="single"/>
        </w:rPr>
        <w:t>4.1.1</w:t>
      </w:r>
      <w:r w:rsidR="004112FB" w:rsidRPr="00580F52">
        <w:rPr>
          <w:b/>
          <w:u w:val="single"/>
        </w:rPr>
        <w:t>.</w:t>
      </w:r>
      <w:r w:rsidR="004112FB" w:rsidRPr="00580F52">
        <w:rPr>
          <w:u w:val="single"/>
        </w:rPr>
        <w:t xml:space="preserve"> </w:t>
      </w:r>
      <w:r w:rsidR="001E7717" w:rsidRPr="00580F52">
        <w:rPr>
          <w:b/>
          <w:i/>
          <w:u w:val="single"/>
        </w:rPr>
        <w:t>Начальная цена предмета аукциона</w:t>
      </w:r>
      <w:r w:rsidR="001E7717" w:rsidRPr="00580F52">
        <w:rPr>
          <w:b/>
          <w:i/>
        </w:rPr>
        <w:t>:</w:t>
      </w:r>
      <w:r w:rsidR="001E7717" w:rsidRPr="00580F52">
        <w:t xml:space="preserve"> </w:t>
      </w:r>
    </w:p>
    <w:p w:rsidR="00B149D7" w:rsidRDefault="001E7717" w:rsidP="00B3660A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BA6058">
        <w:rPr>
          <w:bCs/>
          <w:iCs/>
        </w:rPr>
        <w:t>начальная цена</w:t>
      </w:r>
      <w:r w:rsidR="002F45DF" w:rsidRPr="00BA6058">
        <w:rPr>
          <w:bCs/>
          <w:iCs/>
        </w:rPr>
        <w:t xml:space="preserve"> </w:t>
      </w:r>
      <w:r w:rsidRPr="00BA6058">
        <w:rPr>
          <w:bCs/>
          <w:iCs/>
        </w:rPr>
        <w:t xml:space="preserve">– </w:t>
      </w:r>
      <w:r w:rsidR="005A6C27" w:rsidRPr="005A6C27">
        <w:rPr>
          <w:b/>
          <w:bCs/>
          <w:iCs/>
        </w:rPr>
        <w:t>1</w:t>
      </w:r>
      <w:r w:rsidR="008E427D">
        <w:rPr>
          <w:b/>
          <w:bCs/>
          <w:iCs/>
        </w:rPr>
        <w:t>49 260</w:t>
      </w:r>
      <w:r w:rsidR="00D20784" w:rsidRPr="00BA6058">
        <w:rPr>
          <w:bCs/>
          <w:iCs/>
        </w:rPr>
        <w:t xml:space="preserve"> (</w:t>
      </w:r>
      <w:r w:rsidR="008E427D">
        <w:rPr>
          <w:bCs/>
          <w:iCs/>
        </w:rPr>
        <w:t xml:space="preserve">сто сорок девять </w:t>
      </w:r>
      <w:r w:rsidR="0083404C">
        <w:rPr>
          <w:bCs/>
          <w:iCs/>
        </w:rPr>
        <w:t>тысяч</w:t>
      </w:r>
      <w:r w:rsidR="00380A23">
        <w:rPr>
          <w:bCs/>
          <w:iCs/>
        </w:rPr>
        <w:t xml:space="preserve"> </w:t>
      </w:r>
      <w:r w:rsidR="008E427D">
        <w:rPr>
          <w:bCs/>
          <w:iCs/>
        </w:rPr>
        <w:t>двести шестьдесят</w:t>
      </w:r>
      <w:r w:rsidR="00D20784" w:rsidRPr="00BA6058">
        <w:rPr>
          <w:bCs/>
          <w:iCs/>
        </w:rPr>
        <w:t xml:space="preserve">) </w:t>
      </w:r>
      <w:r w:rsidRPr="00BA6058">
        <w:t xml:space="preserve">руб. </w:t>
      </w:r>
      <w:r w:rsidRPr="0076789E">
        <w:rPr>
          <w:b/>
        </w:rPr>
        <w:t>00</w:t>
      </w:r>
      <w:r w:rsidRPr="00BA6058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BA6058">
        <w:rPr>
          <w:b/>
          <w:u w:val="single"/>
        </w:rPr>
        <w:t>.</w:t>
      </w:r>
      <w:r w:rsidR="004112FB" w:rsidRPr="00BA6058">
        <w:rPr>
          <w:u w:val="single"/>
        </w:rPr>
        <w:t xml:space="preserve"> </w:t>
      </w:r>
      <w:r w:rsidR="001E7717" w:rsidRPr="00BA6058">
        <w:rPr>
          <w:b/>
          <w:i/>
          <w:u w:val="single"/>
        </w:rPr>
        <w:t xml:space="preserve">Шаг </w:t>
      </w:r>
      <w:proofErr w:type="gramStart"/>
      <w:r w:rsidR="001E7717" w:rsidRPr="00BA6058">
        <w:rPr>
          <w:b/>
          <w:i/>
          <w:u w:val="single"/>
        </w:rPr>
        <w:t>аукциона</w:t>
      </w:r>
      <w:r w:rsidR="001E7717" w:rsidRPr="00BA6058">
        <w:rPr>
          <w:b/>
          <w:i/>
        </w:rPr>
        <w:t>:</w:t>
      </w:r>
      <w:r w:rsidR="001E7717" w:rsidRPr="00BA6058">
        <w:t xml:space="preserve"> </w:t>
      </w:r>
      <w:r w:rsidR="00733452">
        <w:rPr>
          <w:b/>
        </w:rPr>
        <w:t xml:space="preserve"> </w:t>
      </w:r>
      <w:r w:rsidR="005A6C27">
        <w:rPr>
          <w:b/>
        </w:rPr>
        <w:t>4</w:t>
      </w:r>
      <w:proofErr w:type="gramEnd"/>
      <w:r w:rsidR="008E427D">
        <w:rPr>
          <w:b/>
        </w:rPr>
        <w:t xml:space="preserve"> 477</w:t>
      </w:r>
      <w:r w:rsidR="00733452" w:rsidRPr="003708A3">
        <w:t xml:space="preserve"> (</w:t>
      </w:r>
      <w:r w:rsidR="008E427D">
        <w:t>четыре тысячи четыреста семьдесят семь</w:t>
      </w:r>
      <w:r w:rsidR="00733452" w:rsidRPr="003708A3">
        <w:t xml:space="preserve">) руб. </w:t>
      </w:r>
      <w:r w:rsidR="008E427D">
        <w:rPr>
          <w:b/>
        </w:rPr>
        <w:t>8</w:t>
      </w:r>
      <w:r w:rsidR="00733452" w:rsidRPr="003708A3">
        <w:rPr>
          <w:b/>
        </w:rPr>
        <w:t>0</w:t>
      </w:r>
      <w:r w:rsidR="00733452" w:rsidRPr="003708A3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 w:rsidRPr="0076789E">
        <w:rPr>
          <w:b/>
          <w:u w:val="single"/>
        </w:rPr>
        <w:t>4.1.3.</w:t>
      </w:r>
      <w:r w:rsidRPr="0076789E">
        <w:rPr>
          <w:b/>
          <w:i/>
          <w:u w:val="single"/>
        </w:rPr>
        <w:t xml:space="preserve"> Размер задатка</w:t>
      </w:r>
      <w:r w:rsidR="005A162F">
        <w:rPr>
          <w:b/>
          <w:i/>
        </w:rPr>
        <w:t>:</w:t>
      </w:r>
      <w:r w:rsidR="00733452" w:rsidRPr="00733452">
        <w:rPr>
          <w:b/>
        </w:rPr>
        <w:t xml:space="preserve"> </w:t>
      </w:r>
      <w:r w:rsidR="008E427D">
        <w:rPr>
          <w:b/>
        </w:rPr>
        <w:t>74 630</w:t>
      </w:r>
      <w:r w:rsidR="00733452" w:rsidRPr="003624C1">
        <w:rPr>
          <w:b/>
        </w:rPr>
        <w:t xml:space="preserve"> </w:t>
      </w:r>
      <w:r w:rsidR="00733452" w:rsidRPr="00BA6058">
        <w:t>(</w:t>
      </w:r>
      <w:r w:rsidR="008E427D">
        <w:t>семьдесят четыре</w:t>
      </w:r>
      <w:r w:rsidR="009F151A">
        <w:t xml:space="preserve"> </w:t>
      </w:r>
      <w:r w:rsidR="00733452">
        <w:t>тысяч</w:t>
      </w:r>
      <w:r w:rsidR="008E427D">
        <w:t>и шестьсот тридцать</w:t>
      </w:r>
      <w:r w:rsidR="00733452" w:rsidRPr="00BA6058">
        <w:t xml:space="preserve">) руб. </w:t>
      </w:r>
      <w:r w:rsidR="00733452" w:rsidRPr="0076789E">
        <w:rPr>
          <w:b/>
        </w:rPr>
        <w:t>00</w:t>
      </w:r>
      <w:r w:rsidR="00733452" w:rsidRPr="00BA6058">
        <w:t xml:space="preserve"> коп.</w:t>
      </w:r>
    </w:p>
    <w:p w:rsidR="00733452" w:rsidRDefault="0076789E" w:rsidP="00B3660A">
      <w:pPr>
        <w:suppressAutoHyphens/>
        <w:autoSpaceDN w:val="0"/>
        <w:ind w:firstLine="708"/>
        <w:jc w:val="both"/>
        <w:textAlignment w:val="baseline"/>
        <w:rPr>
          <w:b/>
          <w:i/>
        </w:rPr>
      </w:pPr>
      <w:r w:rsidRPr="0076789E">
        <w:rPr>
          <w:b/>
          <w:i/>
        </w:rPr>
        <w:t xml:space="preserve"> </w:t>
      </w:r>
    </w:p>
    <w:p w:rsidR="001A71BF" w:rsidRDefault="00542FF1" w:rsidP="00B3660A">
      <w:pPr>
        <w:suppressAutoHyphens/>
        <w:autoSpaceDN w:val="0"/>
        <w:ind w:firstLine="708"/>
        <w:jc w:val="both"/>
        <w:textAlignment w:val="baseline"/>
        <w:rPr>
          <w:rFonts w:cs="Arial CYR"/>
          <w:b/>
          <w:bCs/>
          <w:i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="004112FB" w:rsidRPr="004112FB">
        <w:rPr>
          <w:rFonts w:cs="Arial CYR"/>
          <w:b/>
          <w:bCs/>
          <w:color w:val="000000"/>
        </w:rPr>
        <w:t>.</w:t>
      </w:r>
      <w:r w:rsidR="004112FB">
        <w:rPr>
          <w:rFonts w:cs="Arial CYR"/>
          <w:bCs/>
          <w:color w:val="000000"/>
        </w:rPr>
        <w:t xml:space="preserve"> </w:t>
      </w:r>
      <w:r w:rsidR="005A24E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регистрации в ТС пользователь в Личном кабинете выбирает форму заявления на регистрацию в ТС в зависимости от требуемых полномочий, указанных в пункте 2.1.2. настоящего Регламента, указывает (при необходимости) предусмотренные формой сведения и подписывает ЭП посредством штатного интерфейса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копии документов, удостоверяющих личность заявителя (для граждан);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- </w:t>
      </w:r>
      <w:proofErr w:type="gramStart"/>
      <w:r w:rsidRPr="00994A1E">
        <w:rPr>
          <w:rFonts w:cs="Arial CYR"/>
          <w:bCs/>
          <w:color w:val="000000"/>
        </w:rPr>
        <w:t>надлежащим образом</w:t>
      </w:r>
      <w:proofErr w:type="gramEnd"/>
      <w:r w:rsidRPr="00994A1E">
        <w:rPr>
          <w:rFonts w:cs="Arial CYR"/>
          <w:bCs/>
          <w:color w:val="00000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документы, подтверждающие внесение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не может быть принята Оператором в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lastRenderedPageBreak/>
        <w:t>а) отсутствия на лицевом счете Претендента достаточной суммы денежных средств в размере задатка;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настоящего Регламента, регулирующими особенности проведения различных способов продажи имущества;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в) подачи заявки по истечении установленного срока подачи заявок;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г) некорректного заполнения формы заявки, в том числе </w:t>
      </w:r>
      <w:proofErr w:type="spellStart"/>
      <w:r w:rsidRPr="00994A1E">
        <w:rPr>
          <w:rFonts w:cs="Arial CYR"/>
          <w:bCs/>
          <w:color w:val="000000"/>
        </w:rPr>
        <w:t>незаполнения</w:t>
      </w:r>
      <w:proofErr w:type="spellEnd"/>
      <w:r w:rsidRPr="00994A1E">
        <w:rPr>
          <w:rFonts w:cs="Arial CYR"/>
          <w:bCs/>
          <w:color w:val="000000"/>
        </w:rPr>
        <w:t xml:space="preserve"> полей, являющихся обязательными для заполнения;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д) в других случаях, предусмотренных Регламентом ТС, для отдельных способов торгов.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 окончания срока подачи заявок Претендент, подавший заявку, вправе изменить или отозвать ее.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ab/>
        <w:t>Заявитель не допускается к участию в аукционе в следующих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2) </w:t>
      </w:r>
      <w:proofErr w:type="spellStart"/>
      <w:r w:rsidRPr="00994A1E">
        <w:rPr>
          <w:rFonts w:cs="Arial CYR"/>
          <w:bCs/>
          <w:color w:val="000000"/>
        </w:rPr>
        <w:t>непоступление</w:t>
      </w:r>
      <w:proofErr w:type="spellEnd"/>
      <w:r w:rsidRPr="00994A1E">
        <w:rPr>
          <w:rFonts w:cs="Arial CYR"/>
          <w:bCs/>
          <w:color w:val="000000"/>
        </w:rPr>
        <w:t xml:space="preserve"> задатка на дату рассмотрения заявок на участие в аукционе;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F40DA5" w:rsidRDefault="00542FF1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B3660A" w:rsidRP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lastRenderedPageBreak/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начала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8E427D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5213D8">
        <w:rPr>
          <w:u w:val="single"/>
        </w:rPr>
        <w:t>5</w:t>
      </w:r>
      <w:r w:rsidR="009F151A">
        <w:rPr>
          <w:u w:val="single"/>
        </w:rPr>
        <w:t xml:space="preserve"> апреля</w:t>
      </w:r>
      <w:r w:rsidR="00ED555F" w:rsidRPr="00B3660A">
        <w:rPr>
          <w:u w:val="single"/>
        </w:rPr>
        <w:t xml:space="preserve"> 202</w:t>
      </w:r>
      <w:r w:rsidR="00380A23">
        <w:rPr>
          <w:u w:val="single"/>
        </w:rPr>
        <w:t>5</w:t>
      </w:r>
      <w:r w:rsidR="00027D17" w:rsidRPr="00B3660A">
        <w:rPr>
          <w:u w:val="single"/>
        </w:rPr>
        <w:t xml:space="preserve"> г.</w:t>
      </w:r>
      <w:r w:rsidR="00B3660A" w:rsidRPr="00B3660A">
        <w:rPr>
          <w:u w:val="single"/>
        </w:rPr>
        <w:t xml:space="preserve"> с 1</w:t>
      </w:r>
      <w:r w:rsidR="009F151A">
        <w:rPr>
          <w:u w:val="single"/>
        </w:rPr>
        <w:t>0</w:t>
      </w:r>
      <w:r w:rsidR="00B3660A" w:rsidRPr="00B3660A">
        <w:rPr>
          <w:u w:val="single"/>
        </w:rPr>
        <w:t xml:space="preserve">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окончания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8E427D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12</w:t>
      </w:r>
      <w:r w:rsidR="005213D8">
        <w:rPr>
          <w:u w:val="single"/>
        </w:rPr>
        <w:t xml:space="preserve"> мая</w:t>
      </w:r>
      <w:r w:rsidR="00542FF1">
        <w:rPr>
          <w:u w:val="single"/>
        </w:rPr>
        <w:t xml:space="preserve"> 202</w:t>
      </w:r>
      <w:r w:rsidR="00380A23">
        <w:rPr>
          <w:u w:val="single"/>
        </w:rPr>
        <w:t>5</w:t>
      </w:r>
      <w:r w:rsidR="0035587F" w:rsidRPr="00B3660A">
        <w:rPr>
          <w:u w:val="single"/>
        </w:rPr>
        <w:t xml:space="preserve"> г</w:t>
      </w:r>
      <w:r w:rsidR="00027D17" w:rsidRPr="00B3660A">
        <w:rPr>
          <w:u w:val="single"/>
        </w:rPr>
        <w:t xml:space="preserve">. </w:t>
      </w:r>
      <w:r w:rsidR="00B3660A" w:rsidRPr="00B3660A">
        <w:rPr>
          <w:u w:val="single"/>
        </w:rPr>
        <w:t>в 17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Рассмотрение заявок и признание пр</w:t>
      </w:r>
      <w:r w:rsidR="004112FB" w:rsidRPr="00B3660A">
        <w:rPr>
          <w:b/>
        </w:rPr>
        <w:t xml:space="preserve">етендентов участниками аукциона </w:t>
      </w:r>
      <w:r w:rsidR="000F3ED5" w:rsidRPr="00B3660A">
        <w:rPr>
          <w:b/>
        </w:rPr>
        <w:t>–</w:t>
      </w:r>
      <w:r w:rsidR="004112FB" w:rsidRPr="00B3660A">
        <w:rPr>
          <w:b/>
        </w:rPr>
        <w:t xml:space="preserve"> </w:t>
      </w:r>
    </w:p>
    <w:p w:rsidR="00B3660A" w:rsidRDefault="008E427D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13</w:t>
      </w:r>
      <w:r w:rsidR="005213D8">
        <w:rPr>
          <w:u w:val="single"/>
        </w:rPr>
        <w:t xml:space="preserve"> мая</w:t>
      </w:r>
      <w:r w:rsidR="00542FF1">
        <w:rPr>
          <w:u w:val="single"/>
        </w:rPr>
        <w:t xml:space="preserve"> 202</w:t>
      </w:r>
      <w:r w:rsidR="00380A23">
        <w:rPr>
          <w:u w:val="single"/>
        </w:rPr>
        <w:t>5</w:t>
      </w:r>
      <w:r w:rsidR="00027D17" w:rsidRPr="00B3660A">
        <w:rPr>
          <w:u w:val="single"/>
        </w:rPr>
        <w:t xml:space="preserve"> г. </w:t>
      </w:r>
    </w:p>
    <w:p w:rsidR="00D51C8F" w:rsidRPr="00AD61A4" w:rsidRDefault="00D51C8F" w:rsidP="00D5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D51C8F" w:rsidRPr="00D51C8F" w:rsidRDefault="008E427D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05 мая</w:t>
      </w:r>
      <w:r w:rsidR="00D51C8F" w:rsidRPr="00D51C8F">
        <w:rPr>
          <w:u w:val="single"/>
        </w:rPr>
        <w:t xml:space="preserve"> 202</w:t>
      </w:r>
      <w:r w:rsidR="00380A23">
        <w:rPr>
          <w:u w:val="single"/>
        </w:rPr>
        <w:t>5</w:t>
      </w:r>
      <w:r w:rsidR="00D51C8F" w:rsidRPr="00D51C8F">
        <w:rPr>
          <w:u w:val="single"/>
        </w:rPr>
        <w:t xml:space="preserve"> г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3708A3">
        <w:rPr>
          <w:b/>
        </w:rPr>
        <w:t>6</w:t>
      </w:r>
      <w:r w:rsidR="004112FB" w:rsidRPr="003708A3">
        <w:rPr>
          <w:b/>
        </w:rPr>
        <w:t>.</w:t>
      </w:r>
      <w:r w:rsidRPr="00542FF1">
        <w:t xml:space="preserve"> </w:t>
      </w:r>
      <w:r w:rsidRPr="00994A1E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 w:rsidRPr="00994A1E"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994A1E">
        <w:rPr>
          <w:color w:val="00B050"/>
        </w:rPr>
        <w:t>(</w:t>
      </w:r>
      <w:hyperlink r:id="rId6" w:history="1">
        <w:r w:rsidRPr="00994A1E">
          <w:rPr>
            <w:color w:val="00B050"/>
            <w:u w:val="single"/>
          </w:rPr>
          <w:t>http://utp.sberbank-ast.ru/Main/Notice/988/Reglament</w:t>
        </w:r>
      </w:hyperlink>
      <w:r w:rsidRPr="00994A1E">
        <w:t xml:space="preserve">). 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ПОЛУЧАТЕЛЬ: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Наименование: АО «Сбербанк-АСТ»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ИНН: 7707308480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КПП: 770401001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Расчетный счет: 40702810300020038047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БАНК ПОЛУЧАТЕЛЯ: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Наименование банка: ПАО «СБЕРБАНК РОССИИ» Г. МОСКВА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БИК: 044525225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Корреспондентский счет: 30101810400000000225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  <w:u w:val="single"/>
        </w:rPr>
        <w:t>Порядок возврата задатка</w:t>
      </w:r>
      <w:r w:rsidRPr="00994A1E">
        <w:rPr>
          <w:rFonts w:eastAsia="Calibri"/>
        </w:rPr>
        <w:t xml:space="preserve">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 xml:space="preserve">. В случае отзыва </w:t>
      </w:r>
      <w:r w:rsidRPr="00994A1E">
        <w:rPr>
          <w:rFonts w:eastAsia="Calibri"/>
        </w:rPr>
        <w:lastRenderedPageBreak/>
        <w:t>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</w:r>
      <w:r>
        <w:rPr>
          <w:rFonts w:eastAsia="Calibri"/>
          <w:b/>
        </w:rPr>
        <w:t>7</w:t>
      </w:r>
      <w:r w:rsidRPr="00994A1E">
        <w:rPr>
          <w:rFonts w:eastAsia="Calibri"/>
          <w:b/>
        </w:rPr>
        <w:t>.</w:t>
      </w:r>
      <w:r w:rsidRPr="00994A1E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994A1E">
        <w:t xml:space="preserve"> </w:t>
      </w:r>
      <w:r w:rsidRPr="00994A1E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FF1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F151A" w:rsidRDefault="009F151A" w:rsidP="009F151A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СОГЛАСОВАНО:</w:t>
      </w:r>
    </w:p>
    <w:p w:rsidR="009F151A" w:rsidRDefault="009F151A" w:rsidP="009F151A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F151A" w:rsidRDefault="009F151A" w:rsidP="009F151A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F151A" w:rsidRDefault="009F151A" w:rsidP="009F151A">
      <w:pPr>
        <w:tabs>
          <w:tab w:val="left" w:pos="540"/>
          <w:tab w:val="left" w:pos="711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Председатель </w:t>
      </w:r>
    </w:p>
    <w:p w:rsidR="009F151A" w:rsidRDefault="009F151A" w:rsidP="009F151A">
      <w:pPr>
        <w:tabs>
          <w:tab w:val="left" w:pos="540"/>
          <w:tab w:val="left" w:pos="711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КУМИ г. Великие Луки</w:t>
      </w:r>
      <w:r>
        <w:rPr>
          <w:rFonts w:eastAsia="Calibri"/>
        </w:rPr>
        <w:tab/>
        <w:t xml:space="preserve">Н.В. </w:t>
      </w:r>
      <w:proofErr w:type="spellStart"/>
      <w:r>
        <w:rPr>
          <w:rFonts w:eastAsia="Calibri"/>
        </w:rPr>
        <w:t>Долинченкова</w:t>
      </w:r>
      <w:proofErr w:type="spellEnd"/>
    </w:p>
    <w:p w:rsidR="009F151A" w:rsidRPr="00D959D9" w:rsidRDefault="009F151A" w:rsidP="009F151A">
      <w:pPr>
        <w:rPr>
          <w:rFonts w:eastAsia="Calibri"/>
        </w:rPr>
      </w:pPr>
    </w:p>
    <w:p w:rsidR="009F151A" w:rsidRDefault="009F151A" w:rsidP="009F151A">
      <w:pPr>
        <w:rPr>
          <w:rFonts w:eastAsia="Calibri"/>
        </w:rPr>
      </w:pPr>
    </w:p>
    <w:p w:rsidR="009F151A" w:rsidRDefault="009F151A" w:rsidP="009F151A">
      <w:pPr>
        <w:ind w:firstLine="708"/>
        <w:rPr>
          <w:rFonts w:eastAsia="Calibri"/>
        </w:rPr>
      </w:pPr>
      <w:r>
        <w:rPr>
          <w:rFonts w:eastAsia="Calibri"/>
        </w:rPr>
        <w:t>Начальник юридического отдела</w:t>
      </w:r>
    </w:p>
    <w:p w:rsidR="009F151A" w:rsidRDefault="009F151A" w:rsidP="009F151A">
      <w:pPr>
        <w:tabs>
          <w:tab w:val="left" w:pos="7095"/>
        </w:tabs>
        <w:ind w:firstLine="708"/>
        <w:rPr>
          <w:rFonts w:eastAsia="Calibri"/>
        </w:rPr>
      </w:pPr>
      <w:r>
        <w:rPr>
          <w:rFonts w:eastAsia="Calibri"/>
        </w:rPr>
        <w:t>КУМИ г. Великие Луки</w:t>
      </w:r>
      <w:r>
        <w:rPr>
          <w:rFonts w:eastAsia="Calibri"/>
        </w:rPr>
        <w:tab/>
        <w:t>Е.В. Соловьева</w:t>
      </w:r>
    </w:p>
    <w:p w:rsidR="009F151A" w:rsidRPr="008C0EB7" w:rsidRDefault="009F151A" w:rsidP="009F151A">
      <w:pPr>
        <w:rPr>
          <w:rFonts w:eastAsia="Calibri"/>
        </w:rPr>
      </w:pPr>
    </w:p>
    <w:p w:rsidR="009F151A" w:rsidRDefault="009F151A" w:rsidP="009F151A">
      <w:pPr>
        <w:rPr>
          <w:rFonts w:eastAsia="Calibri"/>
        </w:rPr>
      </w:pPr>
    </w:p>
    <w:p w:rsidR="009F151A" w:rsidRPr="008C0EB7" w:rsidRDefault="009F151A" w:rsidP="009F151A">
      <w:pPr>
        <w:tabs>
          <w:tab w:val="left" w:pos="7050"/>
        </w:tabs>
        <w:ind w:firstLine="708"/>
        <w:rPr>
          <w:rFonts w:eastAsia="Calibri"/>
        </w:rPr>
      </w:pPr>
      <w:r>
        <w:rPr>
          <w:rFonts w:eastAsia="Calibri"/>
        </w:rPr>
        <w:t>Начальник ОЗО КУМИ г. Великие Луки</w:t>
      </w:r>
      <w:r>
        <w:rPr>
          <w:rFonts w:eastAsia="Calibri"/>
        </w:rPr>
        <w:tab/>
      </w:r>
      <w:bookmarkStart w:id="0" w:name="_GoBack"/>
      <w:bookmarkEnd w:id="0"/>
      <w:r>
        <w:rPr>
          <w:rFonts w:eastAsia="Calibri"/>
        </w:rPr>
        <w:t>Н.Ю. Игнатьева</w:t>
      </w: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ED555F" w:rsidRDefault="00ED555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Pr="00E53C3C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sectPr w:rsidR="00D51C8F" w:rsidRPr="00E53C3C" w:rsidSect="00800FF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2D68"/>
    <w:rsid w:val="00004AED"/>
    <w:rsid w:val="00027D17"/>
    <w:rsid w:val="00034FAA"/>
    <w:rsid w:val="000408C9"/>
    <w:rsid w:val="000420DC"/>
    <w:rsid w:val="00062468"/>
    <w:rsid w:val="0008436C"/>
    <w:rsid w:val="000A063D"/>
    <w:rsid w:val="000E3BA3"/>
    <w:rsid w:val="000F3ED5"/>
    <w:rsid w:val="00105F1C"/>
    <w:rsid w:val="00106AE7"/>
    <w:rsid w:val="00113C69"/>
    <w:rsid w:val="00114D8E"/>
    <w:rsid w:val="00133C42"/>
    <w:rsid w:val="0017532E"/>
    <w:rsid w:val="00180F75"/>
    <w:rsid w:val="001844FF"/>
    <w:rsid w:val="001A40D7"/>
    <w:rsid w:val="001A71BF"/>
    <w:rsid w:val="001E0001"/>
    <w:rsid w:val="001E7717"/>
    <w:rsid w:val="00201163"/>
    <w:rsid w:val="00216C9B"/>
    <w:rsid w:val="00221DF9"/>
    <w:rsid w:val="00244AB1"/>
    <w:rsid w:val="00253C0E"/>
    <w:rsid w:val="002725A3"/>
    <w:rsid w:val="00275D25"/>
    <w:rsid w:val="002963DA"/>
    <w:rsid w:val="002A5929"/>
    <w:rsid w:val="002C0DF0"/>
    <w:rsid w:val="002C6803"/>
    <w:rsid w:val="002C6B6A"/>
    <w:rsid w:val="002D41F5"/>
    <w:rsid w:val="002F45DF"/>
    <w:rsid w:val="003037F7"/>
    <w:rsid w:val="00336D89"/>
    <w:rsid w:val="00337A83"/>
    <w:rsid w:val="003531B5"/>
    <w:rsid w:val="0035587F"/>
    <w:rsid w:val="00360746"/>
    <w:rsid w:val="003624C1"/>
    <w:rsid w:val="003708A3"/>
    <w:rsid w:val="00380A23"/>
    <w:rsid w:val="003C033A"/>
    <w:rsid w:val="003C35EC"/>
    <w:rsid w:val="003D1114"/>
    <w:rsid w:val="003D4B20"/>
    <w:rsid w:val="004059D0"/>
    <w:rsid w:val="00407777"/>
    <w:rsid w:val="004112FB"/>
    <w:rsid w:val="00413073"/>
    <w:rsid w:val="00416587"/>
    <w:rsid w:val="00417E73"/>
    <w:rsid w:val="004200F7"/>
    <w:rsid w:val="004835B8"/>
    <w:rsid w:val="00486E3E"/>
    <w:rsid w:val="00487464"/>
    <w:rsid w:val="004B4B65"/>
    <w:rsid w:val="004F12F2"/>
    <w:rsid w:val="004F3D1A"/>
    <w:rsid w:val="004F42E1"/>
    <w:rsid w:val="0051210A"/>
    <w:rsid w:val="005213D8"/>
    <w:rsid w:val="0053745F"/>
    <w:rsid w:val="00542FF1"/>
    <w:rsid w:val="005642E2"/>
    <w:rsid w:val="00580F52"/>
    <w:rsid w:val="00596527"/>
    <w:rsid w:val="005A162F"/>
    <w:rsid w:val="005A24E6"/>
    <w:rsid w:val="005A6C27"/>
    <w:rsid w:val="005B1BA8"/>
    <w:rsid w:val="005D3344"/>
    <w:rsid w:val="005D785C"/>
    <w:rsid w:val="005E3832"/>
    <w:rsid w:val="00600009"/>
    <w:rsid w:val="00617757"/>
    <w:rsid w:val="00675128"/>
    <w:rsid w:val="00683C4D"/>
    <w:rsid w:val="006C5724"/>
    <w:rsid w:val="006D62E3"/>
    <w:rsid w:val="006E10B7"/>
    <w:rsid w:val="006E69DE"/>
    <w:rsid w:val="00706889"/>
    <w:rsid w:val="007324F1"/>
    <w:rsid w:val="00733452"/>
    <w:rsid w:val="00742ECF"/>
    <w:rsid w:val="00746839"/>
    <w:rsid w:val="0076789E"/>
    <w:rsid w:val="00767E8D"/>
    <w:rsid w:val="0079157C"/>
    <w:rsid w:val="007C364A"/>
    <w:rsid w:val="007C609E"/>
    <w:rsid w:val="007C6D02"/>
    <w:rsid w:val="007D79AD"/>
    <w:rsid w:val="00800FF7"/>
    <w:rsid w:val="00805EA5"/>
    <w:rsid w:val="0083404C"/>
    <w:rsid w:val="008601B3"/>
    <w:rsid w:val="008A620C"/>
    <w:rsid w:val="008B2EB3"/>
    <w:rsid w:val="008E427D"/>
    <w:rsid w:val="008F2245"/>
    <w:rsid w:val="008F7820"/>
    <w:rsid w:val="009262C0"/>
    <w:rsid w:val="009459C2"/>
    <w:rsid w:val="00945B1C"/>
    <w:rsid w:val="00963C14"/>
    <w:rsid w:val="00975A1A"/>
    <w:rsid w:val="009A5F4B"/>
    <w:rsid w:val="009C5676"/>
    <w:rsid w:val="009F151A"/>
    <w:rsid w:val="009F60E6"/>
    <w:rsid w:val="00A0243A"/>
    <w:rsid w:val="00A23A97"/>
    <w:rsid w:val="00A4046A"/>
    <w:rsid w:val="00A5148F"/>
    <w:rsid w:val="00A67104"/>
    <w:rsid w:val="00A759A9"/>
    <w:rsid w:val="00A84183"/>
    <w:rsid w:val="00A87C2F"/>
    <w:rsid w:val="00A902BF"/>
    <w:rsid w:val="00A90F12"/>
    <w:rsid w:val="00A90F5B"/>
    <w:rsid w:val="00A97631"/>
    <w:rsid w:val="00AC5242"/>
    <w:rsid w:val="00B149D7"/>
    <w:rsid w:val="00B3660A"/>
    <w:rsid w:val="00B57DB4"/>
    <w:rsid w:val="00B61CD2"/>
    <w:rsid w:val="00B63036"/>
    <w:rsid w:val="00B67E2F"/>
    <w:rsid w:val="00B83E1A"/>
    <w:rsid w:val="00BA6058"/>
    <w:rsid w:val="00BC662B"/>
    <w:rsid w:val="00BD19FC"/>
    <w:rsid w:val="00BE3C56"/>
    <w:rsid w:val="00C1091E"/>
    <w:rsid w:val="00C1550E"/>
    <w:rsid w:val="00C162C5"/>
    <w:rsid w:val="00C23AFD"/>
    <w:rsid w:val="00C41ABE"/>
    <w:rsid w:val="00C44A9A"/>
    <w:rsid w:val="00C45485"/>
    <w:rsid w:val="00C653E7"/>
    <w:rsid w:val="00C8312E"/>
    <w:rsid w:val="00C8612A"/>
    <w:rsid w:val="00CA48ED"/>
    <w:rsid w:val="00CA749A"/>
    <w:rsid w:val="00CA7772"/>
    <w:rsid w:val="00CB1E00"/>
    <w:rsid w:val="00CC0993"/>
    <w:rsid w:val="00CF6C6F"/>
    <w:rsid w:val="00D076B0"/>
    <w:rsid w:val="00D11423"/>
    <w:rsid w:val="00D20784"/>
    <w:rsid w:val="00D51C8F"/>
    <w:rsid w:val="00D91E27"/>
    <w:rsid w:val="00DC5A81"/>
    <w:rsid w:val="00DE23E1"/>
    <w:rsid w:val="00E01D37"/>
    <w:rsid w:val="00E14B4D"/>
    <w:rsid w:val="00E23835"/>
    <w:rsid w:val="00E25A20"/>
    <w:rsid w:val="00E42866"/>
    <w:rsid w:val="00E517B3"/>
    <w:rsid w:val="00E53C3C"/>
    <w:rsid w:val="00E55056"/>
    <w:rsid w:val="00EB22E9"/>
    <w:rsid w:val="00EC7BCD"/>
    <w:rsid w:val="00ED555F"/>
    <w:rsid w:val="00EF08AA"/>
    <w:rsid w:val="00EF6400"/>
    <w:rsid w:val="00F04E8B"/>
    <w:rsid w:val="00F1060D"/>
    <w:rsid w:val="00F21AB5"/>
    <w:rsid w:val="00F30B6D"/>
    <w:rsid w:val="00F3100A"/>
    <w:rsid w:val="00F40DA5"/>
    <w:rsid w:val="00F70B5C"/>
    <w:rsid w:val="00F92E16"/>
    <w:rsid w:val="00FB23A8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CB17-FB93-482B-9C91-F833BF0D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C5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0A94-79E3-418D-8FE7-A2AA8C0E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6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В. Вайверова</cp:lastModifiedBy>
  <cp:revision>39</cp:revision>
  <cp:lastPrinted>2025-04-22T12:27:00Z</cp:lastPrinted>
  <dcterms:created xsi:type="dcterms:W3CDTF">2022-08-24T14:12:00Z</dcterms:created>
  <dcterms:modified xsi:type="dcterms:W3CDTF">2025-04-22T12:44:00Z</dcterms:modified>
</cp:coreProperties>
</file>